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Resolução 219 do CNJ – aplicabilidade plena na Justiça do Trabalho – prevalência sobre a Resolução 63 do CSJT</w:t>
      </w:r>
    </w:p>
    <w:p>
      <w:pPr>
        <w:pStyle w:val="Normal"/>
        <w:spacing w:beforeAutospacing="1" w:after="120"/>
        <w:jc w:val="both"/>
        <w:rPr/>
      </w:pPr>
      <w:r>
        <w:rPr>
          <w:rFonts w:cs="Arial" w:ascii="Times New Roman" w:hAnsi="Times New Roman"/>
          <w:b/>
          <w:bCs/>
          <w:sz w:val="24"/>
          <w:szCs w:val="24"/>
        </w:rPr>
        <w:t>Comissão: 1</w:t>
      </w:r>
    </w:p>
    <w:p>
      <w:pPr>
        <w:pStyle w:val="Normal"/>
        <w:widowControl/>
        <w:suppressAutoHyphens w:val="true"/>
        <w:bidi w:val="0"/>
        <w:spacing w:lineRule="auto" w:line="240" w:beforeAutospacing="1" w:afterAutospacing="1"/>
        <w:ind w:left="0" w:right="0" w:hanging="0"/>
        <w:jc w:val="both"/>
        <w:rPr/>
      </w:pPr>
      <w:r>
        <w:rPr>
          <w:rFonts w:cs="Arial" w:ascii="Times New Roman" w:hAnsi="Times New Roman"/>
          <w:b/>
          <w:bCs/>
          <w:sz w:val="24"/>
          <w:szCs w:val="24"/>
        </w:rPr>
        <w:t>A Resolução 219 do CNJ é plenamente aplicável na Justiça do Trabalho e se sobrepõe sobre a Resolução 63 do CSJT sempre que houver conflito entre as disposições dos seus textos.</w:t>
      </w:r>
    </w:p>
    <w:p>
      <w:pPr>
        <w:pStyle w:val="NormalWeb"/>
        <w:ind w:firstLine="708"/>
        <w:jc w:val="both"/>
        <w:rPr/>
      </w:pPr>
      <w:r>
        <w:rPr>
          <w:rFonts w:cs="Arial" w:ascii="Times New Roman" w:hAnsi="Times New Roman"/>
          <w:i/>
          <w:iCs/>
          <w:sz w:val="24"/>
          <w:szCs w:val="24"/>
        </w:rPr>
        <w:t>É fato notório que o Poder Judiciário brasileiro tem o enorme desafio de atender à demanda da sociedade e dos milhões de processos que tramitam em seus diversos órgãos, sendo inegável a frustração d</w:t>
      </w:r>
      <w:r>
        <w:rPr>
          <w:rFonts w:cs="Arial" w:ascii="Times New Roman" w:hAnsi="Times New Roman"/>
          <w:i/>
          <w:iCs/>
          <w:sz w:val="24"/>
          <w:szCs w:val="24"/>
        </w:rPr>
        <w:t>aqueles</w:t>
      </w:r>
      <w:r>
        <w:rPr>
          <w:rFonts w:cs="Arial" w:ascii="Times New Roman" w:hAnsi="Times New Roman"/>
          <w:i/>
          <w:iCs/>
          <w:sz w:val="24"/>
          <w:szCs w:val="24"/>
        </w:rPr>
        <w:t xml:space="preserve"> que, conquanto tenham tido o reconhecimento do seu direito em juízo, não obtiveram a efetiva tutela do Estado na reparação da lesão da qual foram vítimas.</w:t>
      </w:r>
    </w:p>
    <w:p>
      <w:pPr>
        <w:pStyle w:val="NormalWeb"/>
        <w:ind w:firstLine="708"/>
        <w:jc w:val="both"/>
        <w:rPr/>
      </w:pPr>
      <w:r>
        <w:rPr>
          <w:rFonts w:cs="Arial" w:ascii="Times New Roman" w:hAnsi="Times New Roman"/>
          <w:i/>
          <w:iCs/>
          <w:sz w:val="24"/>
          <w:szCs w:val="24"/>
        </w:rPr>
        <w:t xml:space="preserve">Isso decorre, primordialmente, da falta de estrutura, aparelhamento e capacitação do Poder Judiciário com os recursos materiais e humanos necessários ao desiderato que lhe cabe </w:t>
      </w:r>
      <w:r>
        <w:rPr>
          <w:rFonts w:cs="Arial" w:ascii="Times New Roman" w:hAnsi="Times New Roman"/>
          <w:i/>
          <w:iCs/>
          <w:sz w:val="24"/>
          <w:szCs w:val="24"/>
        </w:rPr>
        <w:t xml:space="preserve">por definição constitucional, </w:t>
      </w:r>
      <w:r>
        <w:rPr>
          <w:rFonts w:cs="Arial" w:ascii="Times New Roman" w:hAnsi="Times New Roman"/>
          <w:i/>
          <w:iCs/>
          <w:sz w:val="24"/>
          <w:szCs w:val="24"/>
        </w:rPr>
        <w:t>sendo gritante, outrossim, o desnivelamento observado, em relação a tais parâmetros, entre os diversos ramos d</w:t>
      </w:r>
      <w:r>
        <w:rPr>
          <w:rFonts w:cs="Arial" w:ascii="Times New Roman" w:hAnsi="Times New Roman"/>
          <w:i/>
          <w:iCs/>
          <w:sz w:val="24"/>
          <w:szCs w:val="24"/>
        </w:rPr>
        <w:t>esse</w:t>
      </w:r>
      <w:r>
        <w:rPr>
          <w:rFonts w:cs="Arial" w:ascii="Times New Roman" w:hAnsi="Times New Roman"/>
          <w:i/>
          <w:iCs/>
          <w:sz w:val="24"/>
          <w:szCs w:val="24"/>
        </w:rPr>
        <w:t xml:space="preserve"> Poder e entre os seus diversos órgãos judiciais ou tribunais.</w:t>
      </w:r>
    </w:p>
    <w:p>
      <w:pPr>
        <w:pStyle w:val="NormalWe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i/>
          <w:iCs/>
          <w:sz w:val="24"/>
          <w:szCs w:val="24"/>
        </w:rPr>
        <w:t xml:space="preserve">Levando tais circunstâncias em consideração, e também os princípios constitucionais da razoável duração do processo e da eficiência da administração pública, consubstanciados nos arts. 5º, LXXVIII, e 37, </w:t>
      </w:r>
      <w:r>
        <w:rPr>
          <w:rFonts w:cs="Arial" w:ascii="Times New Roman" w:hAnsi="Times New Roman"/>
          <w:i w:val="false"/>
          <w:iCs w:val="false"/>
          <w:sz w:val="24"/>
          <w:szCs w:val="24"/>
        </w:rPr>
        <w:t>caput, respectivamente, da Constituição Federal, o Conselho Nacional de Justiça – CNJ aprovou, em 26 de abril de 2016, a Resolução 219</w:t>
      </w:r>
      <w:r>
        <w:rPr>
          <w:rFonts w:cs="Arial" w:ascii="Times New Roman" w:hAnsi="Times New Roman"/>
          <w:i/>
          <w:iCs/>
          <w:sz w:val="24"/>
          <w:szCs w:val="24"/>
        </w:rPr>
        <w:t xml:space="preserve"> que “Dispõe sobre a distribuição de servidores, de cargos em comissão e de funções de confiança nos órgãos do Poder Judiciário de primeiro e segundo</w:t>
        <w:br/>
        <w:t>graus e dá outras providências”.</w:t>
      </w:r>
    </w:p>
    <w:p>
      <w:pPr>
        <w:pStyle w:val="NormalWeb"/>
        <w:ind w:firstLine="708"/>
        <w:jc w:val="both"/>
        <w:rPr/>
      </w:pPr>
      <w:r>
        <w:rPr>
          <w:rFonts w:cs="Arial" w:ascii="Times New Roman" w:hAnsi="Times New Roman"/>
          <w:i/>
          <w:iCs/>
          <w:sz w:val="24"/>
          <w:szCs w:val="24"/>
        </w:rPr>
        <w:t>Cumpre lembrar que, a teor do art. 103-B, § 4º, da Carta Magna, compete ao CNJ “o controle da atuação administrativa e financeira do Poder Judiciário”, de modo que o ato normativo em referência apenas materializa a política administrativa pensada para a melhor prestação da jurisdição com a máxima eficiência no d</w:t>
      </w:r>
      <w:r>
        <w:rPr>
          <w:rFonts w:cs="Arial" w:ascii="Times New Roman" w:hAnsi="Times New Roman"/>
          <w:i/>
          <w:iCs/>
          <w:sz w:val="24"/>
          <w:szCs w:val="24"/>
        </w:rPr>
        <w:t>i</w:t>
      </w:r>
      <w:r>
        <w:rPr>
          <w:rFonts w:cs="Arial" w:ascii="Times New Roman" w:hAnsi="Times New Roman"/>
          <w:i/>
          <w:iCs/>
          <w:sz w:val="24"/>
          <w:szCs w:val="24"/>
        </w:rPr>
        <w:t>spêndio dos recursos públicos.</w:t>
      </w:r>
    </w:p>
    <w:p>
      <w:pPr>
        <w:pStyle w:val="NormalWeb"/>
        <w:ind w:firstLine="708"/>
        <w:jc w:val="both"/>
        <w:rPr/>
      </w:pPr>
      <w:r>
        <w:rPr>
          <w:rFonts w:cs="Arial" w:ascii="Times New Roman" w:hAnsi="Times New Roman"/>
          <w:i/>
          <w:iCs/>
          <w:sz w:val="24"/>
          <w:szCs w:val="24"/>
        </w:rPr>
        <w:t>Vale ressaltar ainda que a sua vigência decorre de diretriz estratégica aprovada no VII Encontro Nacional do Poder Judiciário, que contou com a participação de Presidentes e Corregedores dos tribunais brasileiros, no sentido de “aperfeiçoar os serviços judiciários de primeira instância e equalizar os recursos orçamentários, patrimoniais, de tecnologia da informação e de pessoal entre primeiro e segundo graus, a orientar programas, projetos e ações dos planos estratégicos dos tribunais”.</w:t>
      </w:r>
    </w:p>
    <w:p>
      <w:pPr>
        <w:pStyle w:val="NormalWe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i/>
          <w:iCs/>
          <w:sz w:val="24"/>
          <w:szCs w:val="24"/>
        </w:rPr>
        <w:t>Também a Meta 3, aprovada em referido Encontro, determina a aplicação de parâmetros objetivos na distribuição da força de trabalho de acordo com a movimentação processual.</w:t>
      </w:r>
    </w:p>
    <w:p>
      <w:pPr>
        <w:pStyle w:val="NormalWe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i/>
          <w:iCs/>
          <w:sz w:val="24"/>
          <w:szCs w:val="24"/>
        </w:rPr>
        <w:t>Observa-se, portanto, a preocupação do CNJ com a racional distribuição da força de trabalho nos diversos órgãos do Poder Judiciário brasileiro, sempre com o escopo de otimizar a atividade jurisdicional de qualidade, eficiência e celeridade.</w:t>
      </w:r>
    </w:p>
    <w:p>
      <w:pPr>
        <w:pStyle w:val="NormalWe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i/>
          <w:iCs/>
          <w:sz w:val="24"/>
          <w:szCs w:val="24"/>
        </w:rPr>
        <w:t>Inegável, por tantas razões, a sua plena aplicabilidade na Justiça do Trabalho, sendo certo que também esta apresenta distorções na distribuição da força de trabalho entre o 1º e o 2º Graus, a exigir a implementação dessa política.</w:t>
      </w:r>
    </w:p>
    <w:p>
      <w:pPr>
        <w:pStyle w:val="NormalWe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i/>
          <w:iCs/>
          <w:sz w:val="24"/>
          <w:szCs w:val="24"/>
        </w:rPr>
        <w:t>A confirmar tal raciocínio está a redação do seu art. 1º, que alude a “órgãos do Poder Judiciário de primeiro e segundo graus”, não fazendo qualquer menção de exceção.</w:t>
      </w:r>
    </w:p>
    <w:p>
      <w:pPr>
        <w:pStyle w:val="NormalWeb"/>
        <w:ind w:firstLine="708"/>
        <w:jc w:val="both"/>
        <w:rPr/>
      </w:pPr>
      <w:r>
        <w:rPr>
          <w:rFonts w:cs="Arial" w:ascii="Times New Roman" w:hAnsi="Times New Roman"/>
          <w:i/>
          <w:iCs/>
          <w:sz w:val="24"/>
          <w:szCs w:val="24"/>
        </w:rPr>
        <w:t>De mais a mais, o § 2º, do art. 5º da Resolução 219, é eloquente ao conferir poderes ao Conselho Superior da Justiça do Trabalho – CSJT para definir os agrupamentos entre os seus órgãos, de acordo com critérios de semelhança afetos à competência, material, base territorial, entrância ou outros, numa inequívoca demonstração de que aquele regramento se aplica à Justiça do Trabalho.</w:t>
      </w:r>
    </w:p>
    <w:p>
      <w:pPr>
        <w:pStyle w:val="NormalWe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i/>
          <w:iCs/>
          <w:sz w:val="24"/>
          <w:szCs w:val="24"/>
        </w:rPr>
        <w:t>Mas não basta fixar a premissa da aplicabilidade da Resolução 219 do CNJ na Justiça do Trabalho, notadamente porque ela parece mesmo inquestionável.</w:t>
      </w:r>
    </w:p>
    <w:p>
      <w:pPr>
        <w:pStyle w:val="NormalWeb"/>
        <w:ind w:firstLine="708"/>
        <w:jc w:val="both"/>
        <w:rPr/>
      </w:pPr>
      <w:r>
        <w:rPr>
          <w:rFonts w:cs="Arial" w:ascii="Times New Roman" w:hAnsi="Times New Roman"/>
          <w:i/>
          <w:iCs/>
          <w:sz w:val="24"/>
          <w:szCs w:val="24"/>
        </w:rPr>
        <w:t xml:space="preserve">É oportuno deixar claro que o seu texto se sobrepõe ao da Resolução 63 do CSJT, inclusive porque aprovada depois desta, </w:t>
      </w:r>
      <w:r>
        <w:rPr>
          <w:rFonts w:cs="Arial" w:ascii="Times New Roman" w:hAnsi="Times New Roman"/>
          <w:i/>
          <w:iCs/>
          <w:sz w:val="24"/>
          <w:szCs w:val="24"/>
        </w:rPr>
        <w:t>porquanto</w:t>
      </w:r>
      <w:r>
        <w:rPr>
          <w:rFonts w:cs="Arial" w:ascii="Times New Roman" w:hAnsi="Times New Roman"/>
          <w:i/>
          <w:iCs/>
          <w:sz w:val="24"/>
          <w:szCs w:val="24"/>
        </w:rPr>
        <w:t xml:space="preserve"> a sua lógica atende a critérios racionais e objetivos vinculados à quantidade de processos em tramitação nas duas instâncias de um tribunal, sem se olvidar da mutabilidade desses dados, consoante se infere do seu art. 3º.</w:t>
      </w:r>
    </w:p>
    <w:p>
      <w:pPr>
        <w:pStyle w:val="NormalWe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i/>
          <w:iCs/>
          <w:sz w:val="24"/>
          <w:szCs w:val="24"/>
        </w:rPr>
        <w:t>A sensibilidade do seu texto ainda se revela na observância a outros fatores objetivos, a exemplo do IPS – Índice de Produtividade de Servidores (art. 2º, VI) e do Taxa de Congestionamento (art. 2º, XIII).</w:t>
      </w:r>
    </w:p>
    <w:p>
      <w:pPr>
        <w:pStyle w:val="NormalWe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i/>
          <w:iCs/>
          <w:sz w:val="24"/>
          <w:szCs w:val="24"/>
        </w:rPr>
        <w:t>Diferentemente, a Resolução 63 do CSJT contêm parâmetros mais rígidos e imutáveis, não se amoldando às constantes mudanças na realidade fática vivenciada pelos órgãos do Poder Judiciário ao longo do tempo.</w:t>
      </w:r>
    </w:p>
    <w:p>
      <w:pPr>
        <w:pStyle w:val="NormalWe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i/>
          <w:iCs/>
          <w:sz w:val="24"/>
          <w:szCs w:val="24"/>
        </w:rPr>
        <w:t>A Resolução 63, outrossim, foi editada ao tempo em que não vigia, em nível de CNJ - órgão de planejamento, supervisão e controle de todo o Poder Judiciário brasileiro -, qualquer norma regulamentadora do assunto nela regulado.</w:t>
      </w:r>
    </w:p>
    <w:p>
      <w:pPr>
        <w:pStyle w:val="NormalWe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i/>
          <w:iCs/>
          <w:sz w:val="24"/>
          <w:szCs w:val="24"/>
        </w:rPr>
        <w:t xml:space="preserve">Sobrevindo esta, qual seja, a Resolução 219, parece-nos, salvo melhor juízo, incontestável a sua supremacia, inclusive porque a observância aos seus termos, pela Justiça do Trabalho, atenderá aos reclamos da sociedade quanto à padronização das estruturas dos órgãos estatais incumbidos da prestação jurisdicional em aspectos primordiais como os recursos humanos e materiais. </w:t>
      </w:r>
    </w:p>
    <w:p>
      <w:pPr>
        <w:pStyle w:val="NormalWeb"/>
        <w:spacing w:before="280" w:after="280"/>
        <w:ind w:firstLine="708"/>
        <w:jc w:val="both"/>
        <w:rPr/>
      </w:pPr>
      <w:r>
        <w:rPr>
          <w:rFonts w:cs="Arial" w:ascii="Times New Roman" w:hAnsi="Times New Roman"/>
          <w:i/>
          <w:iCs/>
          <w:sz w:val="24"/>
          <w:szCs w:val="24"/>
        </w:rPr>
        <w:t>Cumprindo tal desiderato, estará a Justiça brasileira dando passos à eliminação de inadmissíveis e profundas diferenças entre os tribunais.</w:t>
      </w:r>
    </w:p>
    <w:sectPr>
      <w:type w:val="nextPage"/>
      <w:pgSz w:w="11906" w:h="16838"/>
      <w:pgMar w:left="1701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86e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86e61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LibreOffice/4.4.3.2$Windows_x86 LibreOffice_project/88805f81e9fe61362df02b9941de8e38a9b5fd16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2018-03-28T17:03:00Z</dcterms:created>
  <dc:creator>convenios</dc:creator>
  <dc:language>pt-BR</dc:language>
  <cp:lastPrinted>2018-04-10T08:06:33Z</cp:lastPrinted>
  <dcterms:modified xsi:type="dcterms:W3CDTF">2018-04-10T08:16:57Z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