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FE03E" w14:textId="77777777" w:rsidR="00C01C3D" w:rsidRDefault="00C01C3D" w:rsidP="00C01C3D">
      <w:pPr>
        <w:jc w:val="both"/>
        <w:rPr>
          <w:rFonts w:ascii="Arial" w:hAnsi="Arial" w:cs="Arial"/>
          <w:b/>
        </w:rPr>
      </w:pPr>
      <w:r w:rsidRPr="0031718A">
        <w:rPr>
          <w:rFonts w:ascii="Arial" w:hAnsi="Arial" w:cs="Arial"/>
          <w:b/>
        </w:rPr>
        <w:t xml:space="preserve">A forma como deve se dar a </w:t>
      </w:r>
      <w:r>
        <w:rPr>
          <w:rFonts w:ascii="Arial" w:hAnsi="Arial" w:cs="Arial"/>
          <w:b/>
        </w:rPr>
        <w:t>fiscalização do meio ambiente do trabalho</w:t>
      </w:r>
    </w:p>
    <w:p w14:paraId="66BA826A" w14:textId="77777777" w:rsidR="00C01C3D" w:rsidRDefault="00C01C3D" w:rsidP="00C01C3D">
      <w:pPr>
        <w:jc w:val="both"/>
        <w:rPr>
          <w:rFonts w:ascii="Arial" w:hAnsi="Arial" w:cs="Arial"/>
          <w:b/>
        </w:rPr>
      </w:pPr>
    </w:p>
    <w:p w14:paraId="1C29F8D2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 w:rsidRPr="0096729E">
        <w:rPr>
          <w:rFonts w:ascii="Arial" w:hAnsi="Arial" w:cs="Arial"/>
        </w:rPr>
        <w:t>É dever do empregador e direito fundamental do empregado a manutenção do equilíbrio no meio ambiente telelaboral (art. 7º, inciso XXII, da CRFB/88 c/c art. 157 da CLT).</w:t>
      </w:r>
    </w:p>
    <w:p w14:paraId="113B61BD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2E215425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efeito, nos termos do art. 157 e incisos da CLT deverá o empregador </w:t>
      </w:r>
      <w:r w:rsidRPr="0096729E">
        <w:rPr>
          <w:rFonts w:ascii="Arial" w:hAnsi="Arial" w:cs="Arial"/>
        </w:rPr>
        <w:t xml:space="preserve">cumprir e </w:t>
      </w:r>
      <w:r w:rsidRPr="0096729E">
        <w:rPr>
          <w:rFonts w:ascii="Arial" w:hAnsi="Arial" w:cs="Arial"/>
          <w:i/>
        </w:rPr>
        <w:t>fazer cumprir</w:t>
      </w:r>
      <w:r w:rsidRPr="0096729E">
        <w:rPr>
          <w:rFonts w:ascii="Arial" w:hAnsi="Arial" w:cs="Arial"/>
        </w:rPr>
        <w:t xml:space="preserve"> as normas de segurança e medicina do trabalho; instruir os empregados, através de ordens de serviço, quanto às precauções a tomar no sentido de evitar acidentes do trabalho o</w:t>
      </w:r>
      <w:r>
        <w:rPr>
          <w:rFonts w:ascii="Arial" w:hAnsi="Arial" w:cs="Arial"/>
        </w:rPr>
        <w:t xml:space="preserve">u doenças ocupacionais; </w:t>
      </w:r>
      <w:r w:rsidRPr="0096729E">
        <w:rPr>
          <w:rFonts w:ascii="Arial" w:hAnsi="Arial" w:cs="Arial"/>
        </w:rPr>
        <w:t>adotar as medidas que lhes sejam determinadas pelo órgão regional competente</w:t>
      </w:r>
      <w:r>
        <w:rPr>
          <w:rFonts w:ascii="Arial" w:hAnsi="Arial" w:cs="Arial"/>
        </w:rPr>
        <w:t xml:space="preserve">; </w:t>
      </w:r>
      <w:r w:rsidRPr="0096729E">
        <w:rPr>
          <w:rFonts w:ascii="Arial" w:hAnsi="Arial" w:cs="Arial"/>
        </w:rPr>
        <w:t xml:space="preserve">facilitar o exercício da fiscalização </w:t>
      </w:r>
      <w:r>
        <w:rPr>
          <w:rFonts w:ascii="Arial" w:hAnsi="Arial" w:cs="Arial"/>
        </w:rPr>
        <w:t>pela autoridade competente; dentre outras medidas.</w:t>
      </w:r>
    </w:p>
    <w:p w14:paraId="4FA5EA07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2B0FFF89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sua vez, cabe aos empregados </w:t>
      </w:r>
      <w:r w:rsidRPr="0096729E">
        <w:rPr>
          <w:rFonts w:ascii="Arial" w:hAnsi="Arial" w:cs="Arial"/>
        </w:rPr>
        <w:t xml:space="preserve">observar as normas de segurança e medicina do trabalho, inclusive as instruções </w:t>
      </w:r>
      <w:r>
        <w:rPr>
          <w:rFonts w:ascii="Arial" w:hAnsi="Arial" w:cs="Arial"/>
        </w:rPr>
        <w:t xml:space="preserve">constantes das ordens de serviços expedidas pelo empregador, bem como </w:t>
      </w:r>
      <w:r w:rsidRPr="0096729E">
        <w:rPr>
          <w:rFonts w:ascii="Arial" w:hAnsi="Arial" w:cs="Arial"/>
        </w:rPr>
        <w:t xml:space="preserve">colaborar com a empresa na aplicação dos dispositivos </w:t>
      </w:r>
      <w:r>
        <w:rPr>
          <w:rFonts w:ascii="Arial" w:hAnsi="Arial" w:cs="Arial"/>
        </w:rPr>
        <w:t>relacionados à segurança e medicina do trabalho, nos termos do art. 158 da CLT.</w:t>
      </w:r>
    </w:p>
    <w:p w14:paraId="1FCB0150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49FE2C09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Inclusive, nos termos do art. 158, parágrafo único, da CLT, c</w:t>
      </w:r>
      <w:r w:rsidRPr="0096729E">
        <w:rPr>
          <w:rFonts w:ascii="Arial" w:hAnsi="Arial" w:cs="Arial"/>
        </w:rPr>
        <w:t xml:space="preserve">onstitui ato faltoso do empregado a recusa </w:t>
      </w:r>
      <w:r>
        <w:rPr>
          <w:rFonts w:ascii="Arial" w:hAnsi="Arial" w:cs="Arial"/>
        </w:rPr>
        <w:t xml:space="preserve">injustificada </w:t>
      </w:r>
      <w:r w:rsidRPr="0096729E">
        <w:rPr>
          <w:rFonts w:ascii="Arial" w:hAnsi="Arial" w:cs="Arial"/>
        </w:rPr>
        <w:t>à observância das instr</w:t>
      </w:r>
      <w:r>
        <w:rPr>
          <w:rFonts w:ascii="Arial" w:hAnsi="Arial" w:cs="Arial"/>
        </w:rPr>
        <w:t xml:space="preserve">uções expedidas pelo empregador, assim como </w:t>
      </w:r>
      <w:r w:rsidRPr="0096729E">
        <w:rPr>
          <w:rFonts w:ascii="Arial" w:hAnsi="Arial" w:cs="Arial"/>
        </w:rPr>
        <w:t xml:space="preserve">ao uso dos equipamentos de proteção individual fornecidos pela empresa.   </w:t>
      </w:r>
    </w:p>
    <w:p w14:paraId="36EC242B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1C3469BA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ao regulamentar o teletrabalho, as disposições inseridas no art. 75-E da CLT pela Lei nº 13.467/2017, foram omissas no tocante ao dever do empregador de </w:t>
      </w:r>
      <w:r>
        <w:rPr>
          <w:rFonts w:ascii="Arial" w:hAnsi="Arial" w:cs="Arial"/>
          <w:i/>
        </w:rPr>
        <w:t>fazer cumprir</w:t>
      </w:r>
      <w:r>
        <w:rPr>
          <w:rFonts w:ascii="Arial" w:hAnsi="Arial" w:cs="Arial"/>
        </w:rPr>
        <w:t xml:space="preserve"> </w:t>
      </w:r>
      <w:r w:rsidRPr="0037721C">
        <w:rPr>
          <w:rFonts w:ascii="Arial" w:hAnsi="Arial" w:cs="Arial"/>
        </w:rPr>
        <w:t>as normas de segurança e medicina do trabalho</w:t>
      </w:r>
      <w:r>
        <w:rPr>
          <w:rFonts w:ascii="Arial" w:hAnsi="Arial" w:cs="Arial"/>
        </w:rPr>
        <w:t>. Pelo contrário, apenas previu que o “</w:t>
      </w:r>
      <w:r w:rsidRPr="0037721C">
        <w:rPr>
          <w:rFonts w:ascii="Arial" w:hAnsi="Arial" w:cs="Arial"/>
          <w:i/>
        </w:rPr>
        <w:t>empregado deverá assinar termo de responsabilidade comprometendo-se a seguir as instruções fornecidas pelo empregador</w:t>
      </w:r>
      <w:r>
        <w:rPr>
          <w:rFonts w:ascii="Arial" w:hAnsi="Arial" w:cs="Arial"/>
        </w:rPr>
        <w:t>” (art. 75-E, parágrafo único, da CLT).</w:t>
      </w:r>
    </w:p>
    <w:p w14:paraId="21C8D1D3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3026498B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interpretação isolada do dispositivo leva a conclusão de que no teletrabalho, ao contrário do restante das demais atividades, bastaria o empregador, para se eximir de qualquer responsabilidade, “</w:t>
      </w:r>
      <w:r w:rsidRPr="0037721C">
        <w:rPr>
          <w:rFonts w:ascii="Arial" w:hAnsi="Arial" w:cs="Arial"/>
          <w:i/>
        </w:rPr>
        <w:t>instruir os empregados, de maneira expressa e ostensiva, quanto às precauções a tomar a fim de evitar doenças e acidentes de trabalho</w:t>
      </w:r>
      <w:r>
        <w:rPr>
          <w:rFonts w:ascii="Arial" w:hAnsi="Arial" w:cs="Arial"/>
        </w:rPr>
        <w:t xml:space="preserve">” (art. 75-E, </w:t>
      </w:r>
      <w:r>
        <w:rPr>
          <w:rFonts w:ascii="Arial" w:hAnsi="Arial" w:cs="Arial"/>
          <w:i/>
        </w:rPr>
        <w:t>caput</w:t>
      </w:r>
      <w:r>
        <w:rPr>
          <w:rFonts w:ascii="Arial" w:hAnsi="Arial" w:cs="Arial"/>
        </w:rPr>
        <w:t>, da CLT).</w:t>
      </w:r>
    </w:p>
    <w:p w14:paraId="47E034AF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7F51F995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outras palavras, a Reforma Trabalhista nada disse sobre a obrigação empregatícia de </w:t>
      </w:r>
      <w:r w:rsidRPr="006E4219">
        <w:rPr>
          <w:rFonts w:ascii="Arial" w:hAnsi="Arial" w:cs="Arial"/>
          <w:i/>
        </w:rPr>
        <w:t>fiscalizar</w:t>
      </w:r>
      <w:r>
        <w:rPr>
          <w:rFonts w:ascii="Arial" w:hAnsi="Arial" w:cs="Arial"/>
        </w:rPr>
        <w:t xml:space="preserve"> e </w:t>
      </w:r>
      <w:r w:rsidRPr="006E4219">
        <w:rPr>
          <w:rFonts w:ascii="Arial" w:hAnsi="Arial" w:cs="Arial"/>
          <w:i/>
        </w:rPr>
        <w:t>fazer cumprir</w:t>
      </w:r>
      <w:r>
        <w:rPr>
          <w:rFonts w:ascii="Arial" w:hAnsi="Arial" w:cs="Arial"/>
        </w:rPr>
        <w:t xml:space="preserve">, pelo empregado, as normas afetas à saúde, medicina, higiene e segurança do trabalho. </w:t>
      </w:r>
    </w:p>
    <w:p w14:paraId="06E0CB6F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78E91000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Sucede que a interpretação não pode ser simplista a tal ponto. Sabe-se que um dos métodos exegéticos consagrados é justamente o método sistemático, pelo qual os dispositivos legais devem ser interpretados como sendo parte de um sistema e não de forma isolada ou segmentada. </w:t>
      </w:r>
    </w:p>
    <w:p w14:paraId="2017D66C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4D89C1FA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 efeito, já não se admitia em Roma, como lembra Carlos Maximiliano, “que o juiz decidisse tendo em mira apenas uma parte da lei; cumpria examinar </w:t>
      </w:r>
      <w:r>
        <w:rPr>
          <w:rFonts w:ascii="Arial" w:hAnsi="Arial" w:cs="Arial"/>
        </w:rPr>
        <w:lastRenderedPageBreak/>
        <w:t>a norma em conjunto: “</w:t>
      </w:r>
      <w:r w:rsidRPr="007C5793">
        <w:rPr>
          <w:rFonts w:ascii="Arial" w:hAnsi="Arial" w:cs="Arial"/>
          <w:i/>
        </w:rPr>
        <w:t>é contra o Direito julgar ou emitir parecer, tendo diante dos olhos, ao invés da lei em conjunto, só uma parte da mesma</w:t>
      </w:r>
      <w:r>
        <w:rPr>
          <w:rFonts w:ascii="Arial" w:hAnsi="Arial" w:cs="Arial"/>
        </w:rPr>
        <w:t>””.</w:t>
      </w:r>
      <w:r>
        <w:rPr>
          <w:rStyle w:val="Refdenotaderodap"/>
          <w:rFonts w:ascii="Arial" w:hAnsi="Arial" w:cs="Arial"/>
        </w:rPr>
        <w:footnoteReference w:id="1"/>
      </w:r>
    </w:p>
    <w:p w14:paraId="38E37E5E" w14:textId="77777777" w:rsidR="00C01C3D" w:rsidRPr="00432973" w:rsidRDefault="00C01C3D" w:rsidP="00C01C3D">
      <w:pPr>
        <w:jc w:val="both"/>
        <w:rPr>
          <w:rFonts w:ascii="Arial" w:hAnsi="Arial" w:cs="Arial"/>
        </w:rPr>
      </w:pPr>
    </w:p>
    <w:p w14:paraId="0A73C13B" w14:textId="77777777" w:rsidR="00C01C3D" w:rsidRPr="00432973" w:rsidRDefault="00C01C3D" w:rsidP="00C01C3D">
      <w:pPr>
        <w:jc w:val="both"/>
        <w:rPr>
          <w:rFonts w:ascii="Arial" w:hAnsi="Arial" w:cs="Arial"/>
        </w:rPr>
      </w:pPr>
      <w:r w:rsidRPr="00432973">
        <w:rPr>
          <w:rFonts w:ascii="Arial" w:hAnsi="Arial" w:cs="Arial"/>
        </w:rPr>
        <w:tab/>
        <w:t>Pois bem, partindo da premissa de que o empregador é obrigado a fiscalizar o meio ambiente de trabalho</w:t>
      </w:r>
      <w:r>
        <w:rPr>
          <w:rFonts w:ascii="Arial" w:hAnsi="Arial" w:cs="Arial"/>
        </w:rPr>
        <w:t xml:space="preserve"> e de que a assinatura pelo empregado em</w:t>
      </w:r>
      <w:r w:rsidRPr="00432973">
        <w:rPr>
          <w:rFonts w:ascii="Arial" w:hAnsi="Arial" w:cs="Arial"/>
        </w:rPr>
        <w:t xml:space="preserve"> termo de responsabilidade comprometendo-se a seguir as instru</w:t>
      </w:r>
      <w:r>
        <w:rPr>
          <w:rFonts w:ascii="Arial" w:hAnsi="Arial" w:cs="Arial"/>
        </w:rPr>
        <w:t>ções fornecidas pelo empregador não o exime das suas responsabilidades</w:t>
      </w:r>
      <w:r>
        <w:rPr>
          <w:rStyle w:val="Refdenotaderodap"/>
          <w:rFonts w:ascii="Arial" w:hAnsi="Arial" w:cs="Arial"/>
        </w:rPr>
        <w:footnoteReference w:id="2"/>
      </w:r>
      <w:r>
        <w:rPr>
          <w:rFonts w:ascii="Arial" w:hAnsi="Arial" w:cs="Arial"/>
        </w:rPr>
        <w:t>, nota-se que a Reforma é omissa quanto ao modo pelo qual deverá ocorrer a fiscalização do meio ambiente do trabalho.</w:t>
      </w:r>
    </w:p>
    <w:p w14:paraId="15C8A930" w14:textId="77777777" w:rsidR="00C01C3D" w:rsidRDefault="00C01C3D" w:rsidP="00C01C3D">
      <w:pPr>
        <w:jc w:val="both"/>
        <w:rPr>
          <w:rFonts w:ascii="Arial" w:hAnsi="Arial" w:cs="Arial"/>
          <w:b/>
        </w:rPr>
      </w:pPr>
    </w:p>
    <w:p w14:paraId="4E0F451E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Pode invocar as lições do direito comparado, a exemplo do Código de Trabalho português, que possui disposição afirmando que “</w:t>
      </w:r>
      <w:r w:rsidRPr="00CB23DA">
        <w:rPr>
          <w:rFonts w:ascii="Arial" w:hAnsi="Arial" w:cs="Arial"/>
          <w:i/>
        </w:rPr>
        <w:t>sempre que o teletrabalho seja realizado no domicílio do trabalhador, a visita ao local de trabalho só deve ter por objeto o controle da atividade laboral, bem como dos instrumentos de trabalho e apenas pode ser efetuada entre as 9 e as 19 horas, com a assistência do trabalhador ou de pessoa</w:t>
      </w:r>
      <w:r>
        <w:rPr>
          <w:rFonts w:ascii="Arial" w:hAnsi="Arial" w:cs="Arial"/>
          <w:i/>
        </w:rPr>
        <w:t xml:space="preserve"> por ele desig</w:t>
      </w:r>
      <w:r w:rsidRPr="00CB23DA">
        <w:rPr>
          <w:rFonts w:ascii="Arial" w:hAnsi="Arial" w:cs="Arial"/>
          <w:i/>
        </w:rPr>
        <w:t>nada</w:t>
      </w:r>
      <w:r>
        <w:rPr>
          <w:rFonts w:ascii="Arial" w:hAnsi="Arial" w:cs="Arial"/>
        </w:rPr>
        <w:t>” (art. 170, item 2).</w:t>
      </w:r>
    </w:p>
    <w:p w14:paraId="3ADB6FF5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0F62DE9A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considera-se abusiva qualquer forma de fiscalização que invada direta ou indiretamente o local de residência do empregado que telelabora, por evidente afronta ao seu direito de intimidade e à sua vida privada.</w:t>
      </w:r>
    </w:p>
    <w:p w14:paraId="5F027031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7B96F51E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ideal é que o preenchimento desses vazios legislativos sejam preenchidos no contrato individual de trabalho e/ou pela legislação autônoma, ou seja, com previsões normativas oriundas de negociações coletivas. No entanto, se nada for previsto, deverá o interprete se socorrer do disposto no art. 8º da CLT.</w:t>
      </w:r>
    </w:p>
    <w:p w14:paraId="694680A0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50C1565C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Fato é que a fiscalização sempre deverá se dar </w:t>
      </w:r>
      <w:r w:rsidRPr="002E754F">
        <w:rPr>
          <w:rFonts w:ascii="Arial" w:hAnsi="Arial" w:cs="Arial"/>
          <w:i/>
        </w:rPr>
        <w:t xml:space="preserve">(i) </w:t>
      </w:r>
      <w:r>
        <w:rPr>
          <w:rFonts w:ascii="Arial" w:hAnsi="Arial" w:cs="Arial"/>
        </w:rPr>
        <w:t xml:space="preserve">com a anuência e presença do empregado ou de alguém por ele indicado; </w:t>
      </w:r>
      <w:r w:rsidRPr="002E754F">
        <w:rPr>
          <w:rFonts w:ascii="Arial" w:hAnsi="Arial" w:cs="Arial"/>
          <w:i/>
        </w:rPr>
        <w:t>(ii)</w:t>
      </w:r>
      <w:r>
        <w:rPr>
          <w:rFonts w:ascii="Arial" w:hAnsi="Arial" w:cs="Arial"/>
        </w:rPr>
        <w:t xml:space="preserve"> </w:t>
      </w:r>
      <w:r w:rsidRPr="002E754F">
        <w:rPr>
          <w:rFonts w:ascii="Arial" w:hAnsi="Arial" w:cs="Arial"/>
        </w:rPr>
        <w:t>a visita ao local de trabalho só deve ter por objeto o controle da atividade laboral, bem como dos instrumentos de trabalho</w:t>
      </w:r>
      <w:r>
        <w:rPr>
          <w:rFonts w:ascii="Arial" w:hAnsi="Arial" w:cs="Arial"/>
        </w:rPr>
        <w:t xml:space="preserve">; </w:t>
      </w:r>
      <w:r w:rsidRPr="002E754F">
        <w:rPr>
          <w:rFonts w:ascii="Arial" w:hAnsi="Arial" w:cs="Arial"/>
          <w:i/>
        </w:rPr>
        <w:t xml:space="preserve">(iii) </w:t>
      </w:r>
      <w:r>
        <w:rPr>
          <w:rFonts w:ascii="Arial" w:hAnsi="Arial" w:cs="Arial"/>
        </w:rPr>
        <w:t xml:space="preserve">em horário comercial segundo os usos e costumes do local; </w:t>
      </w:r>
      <w:r w:rsidRPr="00BA7C89">
        <w:rPr>
          <w:rFonts w:ascii="Arial" w:hAnsi="Arial" w:cs="Arial"/>
          <w:i/>
        </w:rPr>
        <w:t xml:space="preserve">(iv) </w:t>
      </w:r>
      <w:r>
        <w:rPr>
          <w:rFonts w:ascii="Arial" w:hAnsi="Arial" w:cs="Arial"/>
        </w:rPr>
        <w:t>com respeito aos direitos fundamentais – intimidade e vida privada – do empregado.</w:t>
      </w:r>
    </w:p>
    <w:p w14:paraId="241AF844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39B3114F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caso de acidente de trabalho de trabalho, deverá o empregador apresentar toda documentação que comprove a efetiva fiscalização do meio ambiente do trabalho, bem como demonstrar que se valeu de todos os meios capazes para manter equilibrado o local de trabalho. </w:t>
      </w:r>
    </w:p>
    <w:p w14:paraId="25ABDDEA" w14:textId="77777777" w:rsidR="00C01C3D" w:rsidRDefault="00C01C3D" w:rsidP="00C01C3D">
      <w:pPr>
        <w:ind w:firstLine="708"/>
        <w:jc w:val="both"/>
        <w:rPr>
          <w:rFonts w:ascii="Arial" w:hAnsi="Arial" w:cs="Arial"/>
        </w:rPr>
      </w:pPr>
    </w:p>
    <w:p w14:paraId="4D6D2828" w14:textId="77777777" w:rsidR="00C01C3D" w:rsidRPr="003C0750" w:rsidRDefault="00C01C3D" w:rsidP="00C01C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E, caso não haja imposição </w:t>
      </w:r>
      <w:r w:rsidRPr="00E3333B">
        <w:rPr>
          <w:rFonts w:ascii="Arial" w:hAnsi="Arial" w:cs="Arial"/>
        </w:rPr>
        <w:t>pelo empregador, de duração máxima de trabalho pelo empregador dentro da jornada</w:t>
      </w:r>
      <w:r>
        <w:rPr>
          <w:rFonts w:ascii="Arial" w:hAnsi="Arial" w:cs="Arial"/>
        </w:rPr>
        <w:t>, conforme adrede explicitado no item 4.2 supra, é razoável presumir que o</w:t>
      </w:r>
      <w:r w:rsidRPr="00E3333B">
        <w:rPr>
          <w:rFonts w:ascii="Arial" w:hAnsi="Arial" w:cs="Arial"/>
        </w:rPr>
        <w:t xml:space="preserve"> acidente ocorrido no local onde o teletrabalho é exercido durante a atividade profissional do teletrabalhador é presumido como um acidente de trabalho </w:t>
      </w:r>
      <w:r>
        <w:rPr>
          <w:rFonts w:ascii="Arial" w:hAnsi="Arial" w:cs="Arial"/>
        </w:rPr>
        <w:t>para fins previdenciários.</w:t>
      </w:r>
      <w:r>
        <w:rPr>
          <w:rStyle w:val="Refdenotaderodap"/>
          <w:rFonts w:ascii="Arial" w:hAnsi="Arial" w:cs="Arial"/>
        </w:rPr>
        <w:footnoteReference w:id="3"/>
      </w:r>
    </w:p>
    <w:p w14:paraId="6FAA71AD" w14:textId="77777777" w:rsidR="00AA1E7B" w:rsidRDefault="000107C2">
      <w:bookmarkStart w:id="0" w:name="_GoBack"/>
      <w:bookmarkEnd w:id="0"/>
    </w:p>
    <w:sectPr w:rsidR="00AA1E7B" w:rsidSect="00CB1B8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3BE5" w14:textId="77777777" w:rsidR="000107C2" w:rsidRDefault="000107C2" w:rsidP="00C01C3D">
      <w:r>
        <w:separator/>
      </w:r>
    </w:p>
  </w:endnote>
  <w:endnote w:type="continuationSeparator" w:id="0">
    <w:p w14:paraId="68789F8E" w14:textId="77777777" w:rsidR="000107C2" w:rsidRDefault="000107C2" w:rsidP="00C0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12A2" w14:textId="77777777" w:rsidR="000107C2" w:rsidRDefault="000107C2" w:rsidP="00C01C3D">
      <w:r>
        <w:separator/>
      </w:r>
    </w:p>
  </w:footnote>
  <w:footnote w:type="continuationSeparator" w:id="0">
    <w:p w14:paraId="31D8582A" w14:textId="77777777" w:rsidR="000107C2" w:rsidRDefault="000107C2" w:rsidP="00C01C3D">
      <w:r>
        <w:continuationSeparator/>
      </w:r>
    </w:p>
  </w:footnote>
  <w:footnote w:id="1">
    <w:p w14:paraId="62891463" w14:textId="77777777" w:rsidR="00C01C3D" w:rsidRPr="00BB4347" w:rsidRDefault="00C01C3D" w:rsidP="00C01C3D">
      <w:pPr>
        <w:pStyle w:val="Textodenotaderodap"/>
        <w:jc w:val="both"/>
        <w:rPr>
          <w:rFonts w:ascii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C5793">
        <w:rPr>
          <w:rFonts w:ascii="Arial" w:hAnsi="Arial" w:cs="Arial"/>
          <w:sz w:val="20"/>
          <w:szCs w:val="20"/>
        </w:rPr>
        <w:t xml:space="preserve">MAXIMILIANO, Carlos. </w:t>
      </w:r>
      <w:r w:rsidRPr="007C5793">
        <w:rPr>
          <w:rFonts w:ascii="Arial" w:hAnsi="Arial" w:cs="Arial"/>
          <w:i/>
          <w:sz w:val="20"/>
          <w:szCs w:val="20"/>
        </w:rPr>
        <w:t>Hermenêutica e aplicação do direito</w:t>
      </w:r>
      <w:r w:rsidRPr="007C5793">
        <w:rPr>
          <w:rFonts w:ascii="Arial" w:hAnsi="Arial" w:cs="Arial"/>
          <w:sz w:val="20"/>
          <w:szCs w:val="20"/>
        </w:rPr>
        <w:t>. 19. ed. Rio de Janeiro: Forense, 2006. p. 105.</w:t>
      </w:r>
      <w:r>
        <w:rPr>
          <w:rFonts w:ascii="Arial" w:hAnsi="Arial" w:cs="Arial"/>
          <w:sz w:val="20"/>
          <w:szCs w:val="20"/>
        </w:rPr>
        <w:t xml:space="preserve"> Também sobre a obrigatoriedade de fiscalização pelo empregador, vale conferir o Enunciado nº 83 da </w:t>
      </w:r>
      <w:r w:rsidRPr="00BB4347">
        <w:rPr>
          <w:rFonts w:ascii="Arial" w:hAnsi="Arial" w:cs="Arial"/>
          <w:sz w:val="20"/>
          <w:szCs w:val="20"/>
        </w:rPr>
        <w:t>2ª Jornada de Direito Material e Processual do Trabalho</w:t>
      </w:r>
      <w:r>
        <w:rPr>
          <w:rFonts w:ascii="Arial" w:hAnsi="Arial" w:cs="Arial"/>
          <w:sz w:val="20"/>
          <w:szCs w:val="20"/>
        </w:rPr>
        <w:t>: “</w:t>
      </w:r>
      <w:r w:rsidRPr="00BB4347">
        <w:rPr>
          <w:rFonts w:ascii="Arial" w:hAnsi="Arial" w:cs="Arial"/>
          <w:i/>
          <w:sz w:val="20"/>
          <w:szCs w:val="20"/>
        </w:rPr>
        <w:t>TELETRABALHO. CONTROLE DOS RISCOS LABOR-AMBIENTAIS. O regime de teletrabalho não exime o empregador de adequar o ambiente de trabalho às regras da NR-7 (PCSMO), da NR-9 (PPRA) e do artigo 58, § 1º, da Lei 8.213/91 (LTCAT), nem de fiscalizar o ambiente de trabalho, inclusive com a realização de treinamentos. Exigência dos artigos 16 a 19 da convenção 155 da OIT</w:t>
      </w:r>
      <w:r w:rsidRPr="00BB434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  <w:r w:rsidRPr="00BB4347">
        <w:rPr>
          <w:rFonts w:ascii="Arial" w:hAnsi="Arial" w:cs="Arial"/>
          <w:sz w:val="20"/>
          <w:szCs w:val="20"/>
        </w:rPr>
        <w:t xml:space="preserve"> </w:t>
      </w:r>
      <w:r w:rsidRPr="00BB4347">
        <w:rPr>
          <w:rFonts w:ascii="Arial" w:hAnsi="Arial" w:cs="Arial"/>
          <w:i/>
          <w:sz w:val="20"/>
          <w:szCs w:val="20"/>
        </w:rPr>
        <w:t>(Enunciado nº 1 da Comissão 6)</w:t>
      </w:r>
    </w:p>
  </w:footnote>
  <w:footnote w:id="2">
    <w:p w14:paraId="3FDFF767" w14:textId="77777777" w:rsidR="00C01C3D" w:rsidRPr="00014340" w:rsidRDefault="00C01C3D" w:rsidP="00C01C3D">
      <w:pPr>
        <w:pStyle w:val="Textodenotaderodap"/>
        <w:jc w:val="both"/>
        <w:rPr>
          <w:b/>
        </w:rPr>
      </w:pPr>
      <w:r>
        <w:rPr>
          <w:rStyle w:val="Refdenotaderodap"/>
        </w:rPr>
        <w:footnoteRef/>
      </w:r>
      <w:r>
        <w:t xml:space="preserve"> Enunciado nº</w:t>
      </w:r>
      <w:r w:rsidRPr="000143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72 da </w:t>
      </w:r>
      <w:r w:rsidRPr="00BB4347">
        <w:rPr>
          <w:rFonts w:ascii="Arial" w:hAnsi="Arial" w:cs="Arial"/>
          <w:sz w:val="20"/>
          <w:szCs w:val="20"/>
        </w:rPr>
        <w:t>2ª Jornada de Direito Material e Processual do Trabalho</w:t>
      </w:r>
      <w:r>
        <w:rPr>
          <w:rFonts w:ascii="Arial" w:hAnsi="Arial" w:cs="Arial"/>
          <w:sz w:val="20"/>
          <w:szCs w:val="20"/>
        </w:rPr>
        <w:t xml:space="preserve">: </w:t>
      </w:r>
      <w:r>
        <w:t>“</w:t>
      </w:r>
      <w:r w:rsidRPr="00014340">
        <w:rPr>
          <w:rFonts w:ascii="Arial" w:hAnsi="Arial" w:cs="Arial"/>
          <w:b/>
          <w:i/>
          <w:sz w:val="20"/>
          <w:szCs w:val="20"/>
        </w:rPr>
        <w:t xml:space="preserve">TELETRABALHO. RESPONSABILIDADE CIVIL DO EMPREGADOR POR DANOS. </w:t>
      </w:r>
      <w:r w:rsidRPr="00014340">
        <w:rPr>
          <w:rFonts w:ascii="Arial" w:hAnsi="Arial" w:cs="Arial"/>
          <w:i/>
          <w:sz w:val="20"/>
          <w:szCs w:val="20"/>
        </w:rPr>
        <w:t>A mera subscrição, pelo trabalhador, de termo de responsabilidade em que se compromete a seguir as instruções fornecidas pelo empregador, previsto no art. 75-E, parágrafo único, da CLT, não exime o empregador de eventual responsabilidade por danos decorrentes dos riscos ambientais do teletrabalho. Aplicação do art. 7º, XXII da Constituição c/c art. 927, parágrafo único, do Código Civil</w:t>
      </w:r>
      <w:r>
        <w:rPr>
          <w:rFonts w:ascii="Arial" w:hAnsi="Arial" w:cs="Arial"/>
          <w:sz w:val="20"/>
          <w:szCs w:val="20"/>
        </w:rPr>
        <w:t>”.</w:t>
      </w:r>
      <w:r w:rsidRPr="00014340">
        <w:rPr>
          <w:rFonts w:ascii="Arial" w:hAnsi="Arial" w:cs="Arial"/>
          <w:sz w:val="20"/>
          <w:szCs w:val="20"/>
        </w:rPr>
        <w:t xml:space="preserve"> </w:t>
      </w:r>
      <w:r w:rsidRPr="00014340">
        <w:rPr>
          <w:rFonts w:ascii="Arial" w:hAnsi="Arial" w:cs="Arial"/>
          <w:i/>
          <w:sz w:val="20"/>
          <w:szCs w:val="20"/>
        </w:rPr>
        <w:t>(Enunciado Aglutinado nº 3 da Comissão 6)</w:t>
      </w:r>
    </w:p>
    <w:p w14:paraId="0E22F14E" w14:textId="77777777" w:rsidR="00C01C3D" w:rsidRDefault="00C01C3D" w:rsidP="00C01C3D">
      <w:pPr>
        <w:pStyle w:val="Textodenotaderodap"/>
      </w:pPr>
    </w:p>
  </w:footnote>
  <w:footnote w:id="3">
    <w:p w14:paraId="6D8FEA5E" w14:textId="77777777" w:rsidR="00C01C3D" w:rsidRDefault="00C01C3D" w:rsidP="00C01C3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3333B">
        <w:rPr>
          <w:rFonts w:ascii="Arial" w:hAnsi="Arial" w:cs="Arial"/>
          <w:sz w:val="20"/>
          <w:szCs w:val="20"/>
        </w:rPr>
        <w:t>A propósito, esse é o teor do disposto no artigo L1222-9 do Código do Trabalho francês: “</w:t>
      </w:r>
      <w:r w:rsidRPr="00E3333B">
        <w:rPr>
          <w:rFonts w:ascii="Arial" w:hAnsi="Arial" w:cs="Arial"/>
          <w:i/>
          <w:sz w:val="20"/>
          <w:szCs w:val="20"/>
        </w:rPr>
        <w:t xml:space="preserve">L'accident survenu sur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lieu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où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est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exercé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télétravail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pendant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l'exercice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l'activité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professionnelle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du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télétravailleur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est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présumé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être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un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accident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travail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au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sens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des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dispositions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l'article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L. 411-1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du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code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la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sécurité</w:t>
      </w:r>
      <w:proofErr w:type="spellEnd"/>
      <w:r w:rsidRPr="00E333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3333B">
        <w:rPr>
          <w:rFonts w:ascii="Arial" w:hAnsi="Arial" w:cs="Arial"/>
          <w:i/>
          <w:sz w:val="20"/>
          <w:szCs w:val="20"/>
        </w:rPr>
        <w:t>sociale</w:t>
      </w:r>
      <w:proofErr w:type="spellEnd"/>
      <w:r w:rsidRPr="00E3333B">
        <w:rPr>
          <w:rFonts w:ascii="Arial" w:hAnsi="Arial" w:cs="Arial"/>
          <w:sz w:val="20"/>
          <w:szCs w:val="20"/>
        </w:rPr>
        <w:t>”.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B20C9"/>
    <w:multiLevelType w:val="hybridMultilevel"/>
    <w:tmpl w:val="79984968"/>
    <w:lvl w:ilvl="0" w:tplc="AA3A01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2502"/>
    <w:multiLevelType w:val="hybridMultilevel"/>
    <w:tmpl w:val="D46AA7C4"/>
    <w:lvl w:ilvl="0" w:tplc="CD7A37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7F5015F"/>
    <w:multiLevelType w:val="hybridMultilevel"/>
    <w:tmpl w:val="17D22B78"/>
    <w:lvl w:ilvl="0" w:tplc="3B6C05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432B2"/>
    <w:multiLevelType w:val="multilevel"/>
    <w:tmpl w:val="4CD6FE36"/>
    <w:lvl w:ilvl="0">
      <w:start w:val="1"/>
      <w:numFmt w:val="decimal"/>
      <w:pStyle w:val="Ttulo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3D"/>
    <w:rsid w:val="000107C2"/>
    <w:rsid w:val="002930F0"/>
    <w:rsid w:val="005D346B"/>
    <w:rsid w:val="008478F0"/>
    <w:rsid w:val="00C01C3D"/>
    <w:rsid w:val="00C22599"/>
    <w:rsid w:val="00CB1B86"/>
    <w:rsid w:val="00F37B28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096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1C3D"/>
  </w:style>
  <w:style w:type="paragraph" w:styleId="Ttulo1">
    <w:name w:val="heading 1"/>
    <w:basedOn w:val="Normal"/>
    <w:next w:val="Normal"/>
    <w:link w:val="Ttulo1Char"/>
    <w:uiPriority w:val="9"/>
    <w:qFormat/>
    <w:rsid w:val="008478F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both"/>
      <w:outlineLvl w:val="0"/>
    </w:pPr>
    <w:rPr>
      <w:rFonts w:ascii="Arial" w:eastAsiaTheme="majorEastAsia" w:hAnsi="Arial" w:cstheme="majorBidi"/>
      <w:b/>
      <w:bCs/>
      <w:caps/>
      <w:color w:val="000000" w:themeColor="text1"/>
      <w:sz w:val="26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478F0"/>
    <w:pPr>
      <w:keepNext/>
      <w:keepLines/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0070C0"/>
      <w:jc w:val="both"/>
      <w:outlineLvl w:val="1"/>
    </w:pPr>
    <w:rPr>
      <w:rFonts w:ascii="Arial" w:eastAsiaTheme="majorEastAsia" w:hAnsi="Arial" w:cs="Arial"/>
      <w:b/>
      <w:bCs/>
      <w:caps/>
      <w:color w:val="FFFFFF" w:themeColor="background1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478F0"/>
    <w:pPr>
      <w:keepNext/>
      <w:keepLines/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5D346B"/>
    <w:pPr>
      <w:keepNext/>
      <w:keepLines/>
      <w:numPr>
        <w:numId w:val="9"/>
      </w:numPr>
      <w:spacing w:before="40" w:after="100"/>
      <w:ind w:left="284" w:hanging="284"/>
      <w:jc w:val="both"/>
      <w:outlineLvl w:val="3"/>
    </w:pPr>
    <w:rPr>
      <w:rFonts w:ascii="Segoe UI" w:eastAsia="Times New Roman" w:hAnsi="Segoe UI"/>
      <w:b/>
      <w:bCs/>
      <w:iCs/>
      <w:color w:val="002060"/>
      <w:szCs w:val="22"/>
      <w:u w:val="single"/>
    </w:rPr>
  </w:style>
  <w:style w:type="paragraph" w:styleId="Ttulo5">
    <w:name w:val="heading 5"/>
    <w:basedOn w:val="Normal"/>
    <w:next w:val="Normal"/>
    <w:link w:val="Ttulo5Char"/>
    <w:autoRedefine/>
    <w:uiPriority w:val="9"/>
    <w:unhideWhenUsed/>
    <w:qFormat/>
    <w:rsid w:val="005D346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both"/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478F0"/>
    <w:rPr>
      <w:rFonts w:ascii="Arial" w:eastAsiaTheme="majorEastAsia" w:hAnsi="Arial" w:cstheme="majorBidi"/>
      <w:b/>
      <w:bCs/>
      <w:shd w:val="clear" w:color="auto" w:fill="D9D9D9" w:themeFill="background1" w:themeFillShade="D9"/>
    </w:rPr>
  </w:style>
  <w:style w:type="character" w:customStyle="1" w:styleId="Ttulo4Char">
    <w:name w:val="Título 4 Char"/>
    <w:link w:val="Ttulo4"/>
    <w:uiPriority w:val="9"/>
    <w:rsid w:val="005D346B"/>
    <w:rPr>
      <w:rFonts w:ascii="Segoe UI" w:eastAsia="Times New Roman" w:hAnsi="Segoe UI"/>
      <w:b/>
      <w:bCs/>
      <w:iCs/>
      <w:color w:val="002060"/>
      <w:szCs w:val="22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5D346B"/>
    <w:rPr>
      <w:rFonts w:ascii="Arial" w:eastAsiaTheme="majorEastAsia" w:hAnsi="Arial" w:cstheme="majorBidi"/>
      <w:b/>
      <w:i/>
      <w:sz w:val="20"/>
      <w:shd w:val="clear" w:color="auto" w:fill="F2F2F2" w:themeFill="background1" w:themeFillShade="F2"/>
    </w:rPr>
  </w:style>
  <w:style w:type="paragraph" w:styleId="Ttulo">
    <w:name w:val="Title"/>
    <w:basedOn w:val="Normal"/>
    <w:next w:val="Normal"/>
    <w:link w:val="TtuloChar"/>
    <w:autoRedefine/>
    <w:qFormat/>
    <w:rsid w:val="00FD33FD"/>
    <w:pPr>
      <w:shd w:val="solid" w:color="auto" w:fill="auto"/>
    </w:pPr>
    <w:rPr>
      <w:rFonts w:ascii="Arial" w:eastAsia="Times New Roman" w:hAnsi="Arial"/>
      <w:color w:val="FFFFFF" w:themeColor="background1"/>
      <w:spacing w:val="5"/>
      <w:kern w:val="28"/>
      <w:szCs w:val="52"/>
    </w:rPr>
  </w:style>
  <w:style w:type="character" w:customStyle="1" w:styleId="TtuloChar">
    <w:name w:val="Título Char"/>
    <w:link w:val="Ttulo"/>
    <w:rsid w:val="00FD33FD"/>
    <w:rPr>
      <w:rFonts w:ascii="Arial" w:eastAsia="Times New Roman" w:hAnsi="Arial"/>
      <w:color w:val="FFFFFF" w:themeColor="background1"/>
      <w:spacing w:val="5"/>
      <w:kern w:val="28"/>
      <w:szCs w:val="52"/>
      <w:shd w:val="solid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8478F0"/>
    <w:rPr>
      <w:rFonts w:ascii="Arial" w:eastAsiaTheme="majorEastAsia" w:hAnsi="Arial" w:cstheme="majorBidi"/>
      <w:b/>
      <w:bCs/>
      <w:caps/>
      <w:color w:val="000000" w:themeColor="text1"/>
      <w:sz w:val="26"/>
      <w:szCs w:val="28"/>
      <w:shd w:val="clear" w:color="auto" w:fill="000000" w:themeFill="text1"/>
    </w:rPr>
  </w:style>
  <w:style w:type="character" w:customStyle="1" w:styleId="Ttulo2Char">
    <w:name w:val="Título 2 Char"/>
    <w:basedOn w:val="Fontepargpadro"/>
    <w:link w:val="Ttulo2"/>
    <w:uiPriority w:val="9"/>
    <w:rsid w:val="008478F0"/>
    <w:rPr>
      <w:rFonts w:ascii="Arial" w:eastAsiaTheme="majorEastAsia" w:hAnsi="Arial" w:cs="Arial"/>
      <w:b/>
      <w:bCs/>
      <w:caps/>
      <w:color w:val="FFFFFF" w:themeColor="background1"/>
      <w:shd w:val="clear" w:color="auto" w:fill="0070C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1C3D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1C3D"/>
  </w:style>
  <w:style w:type="character" w:styleId="Refdenotaderodap">
    <w:name w:val="footnote reference"/>
    <w:basedOn w:val="Fontepargpadro"/>
    <w:uiPriority w:val="99"/>
    <w:unhideWhenUsed/>
    <w:rsid w:val="00C01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4432</Characters>
  <Application>Microsoft Macintosh Word</Application>
  <DocSecurity>0</DocSecurity>
  <Lines>36</Lines>
  <Paragraphs>10</Paragraphs>
  <ScaleCrop>false</ScaleCrop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MIZIARA</dc:creator>
  <cp:keywords/>
  <dc:description/>
  <cp:lastModifiedBy>RAPHAEL MIZIARA</cp:lastModifiedBy>
  <cp:revision>1</cp:revision>
  <dcterms:created xsi:type="dcterms:W3CDTF">2018-03-03T05:44:00Z</dcterms:created>
  <dcterms:modified xsi:type="dcterms:W3CDTF">2018-03-03T05:44:00Z</dcterms:modified>
</cp:coreProperties>
</file>