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A40" w:rsidRDefault="00494A40" w:rsidP="00494A40">
      <w:pPr>
        <w:pStyle w:val="PargrafodaLista"/>
        <w:spacing w:after="0" w:line="360" w:lineRule="auto"/>
        <w:ind w:left="2127"/>
        <w:jc w:val="both"/>
        <w:rPr>
          <w:rFonts w:ascii="Times New Roman" w:hAnsi="Times New Roman"/>
          <w:spacing w:val="20"/>
          <w:sz w:val="24"/>
          <w:szCs w:val="24"/>
        </w:rPr>
      </w:pPr>
      <w:r w:rsidRPr="00D10A49">
        <w:rPr>
          <w:rFonts w:ascii="Times New Roman" w:hAnsi="Times New Roman"/>
          <w:b/>
          <w:spacing w:val="20"/>
          <w:sz w:val="24"/>
          <w:szCs w:val="24"/>
        </w:rPr>
        <w:t>Conta poupança</w:t>
      </w:r>
      <w:r>
        <w:rPr>
          <w:rFonts w:ascii="Times New Roman" w:hAnsi="Times New Roman"/>
          <w:b/>
          <w:spacing w:val="20"/>
          <w:sz w:val="24"/>
          <w:szCs w:val="24"/>
        </w:rPr>
        <w:t xml:space="preserve"> – Proteção adequada do crédito trabalhista – </w:t>
      </w:r>
      <w:r w:rsidRPr="00432C92">
        <w:rPr>
          <w:rFonts w:ascii="Times New Roman" w:hAnsi="Times New Roman"/>
          <w:b/>
          <w:spacing w:val="20"/>
          <w:sz w:val="24"/>
          <w:szCs w:val="24"/>
        </w:rPr>
        <w:t>Penhorabilidade – Possibilidade</w:t>
      </w:r>
      <w:r>
        <w:rPr>
          <w:rFonts w:ascii="Times New Roman" w:hAnsi="Times New Roman"/>
          <w:b/>
          <w:spacing w:val="20"/>
          <w:sz w:val="24"/>
          <w:szCs w:val="24"/>
        </w:rPr>
        <w:t xml:space="preserve"> independente de limite. </w:t>
      </w:r>
      <w:r w:rsidRPr="00432C92">
        <w:rPr>
          <w:rFonts w:ascii="Times New Roman" w:hAnsi="Times New Roman"/>
          <w:spacing w:val="20"/>
          <w:sz w:val="24"/>
          <w:szCs w:val="24"/>
        </w:rPr>
        <w:t>Verificado o nível de proteção atribuído pelo texto constitucional aos trabalhadores, cabe ao Estado adotar as medidas para assegurar a</w:t>
      </w:r>
      <w:r>
        <w:rPr>
          <w:rFonts w:ascii="Times New Roman" w:hAnsi="Times New Roman"/>
          <w:spacing w:val="20"/>
          <w:sz w:val="24"/>
          <w:szCs w:val="24"/>
        </w:rPr>
        <w:t xml:space="preserve"> adequada e eficiente proteção </w:t>
      </w:r>
      <w:r w:rsidRPr="00432C92">
        <w:rPr>
          <w:rFonts w:ascii="Times New Roman" w:hAnsi="Times New Roman"/>
          <w:spacing w:val="20"/>
          <w:sz w:val="24"/>
          <w:szCs w:val="24"/>
        </w:rPr>
        <w:t>do salário (art. 7º, X, da CF)</w:t>
      </w:r>
      <w:r>
        <w:rPr>
          <w:rFonts w:ascii="Times New Roman" w:hAnsi="Times New Roman"/>
          <w:spacing w:val="20"/>
          <w:sz w:val="24"/>
          <w:szCs w:val="24"/>
        </w:rPr>
        <w:t xml:space="preserve">, sem o excesso na atuação estatal </w:t>
      </w:r>
      <w:r w:rsidRPr="007F67EF">
        <w:rPr>
          <w:rFonts w:ascii="Times New Roman" w:hAnsi="Times New Roman"/>
          <w:spacing w:val="20"/>
          <w:sz w:val="24"/>
          <w:szCs w:val="24"/>
        </w:rPr>
        <w:t>(proporcionalidade ou razoabilidade em sentido estrito),</w:t>
      </w:r>
      <w:r>
        <w:rPr>
          <w:rFonts w:ascii="Times New Roman" w:hAnsi="Times New Roman"/>
          <w:spacing w:val="20"/>
          <w:sz w:val="24"/>
          <w:szCs w:val="24"/>
        </w:rPr>
        <w:t xml:space="preserve"> a exigir a constatação de que</w:t>
      </w:r>
      <w:r w:rsidRPr="00233AE4">
        <w:rPr>
          <w:rFonts w:ascii="Times New Roman" w:hAnsi="Times New Roman"/>
          <w:spacing w:val="20"/>
          <w:sz w:val="24"/>
          <w:szCs w:val="24"/>
        </w:rPr>
        <w:t xml:space="preserve"> nenhum meio menos gravoso para o indivíduo revelar-se-ia igualmente eficaz na consecução dos objetivos pretendidos. </w:t>
      </w:r>
      <w:r w:rsidRPr="00432C92">
        <w:rPr>
          <w:rFonts w:ascii="Times New Roman" w:hAnsi="Times New Roman"/>
          <w:spacing w:val="20"/>
          <w:sz w:val="24"/>
          <w:szCs w:val="24"/>
        </w:rPr>
        <w:t>Destarte, a blindagem de valores depositados em conta poupança (</w:t>
      </w:r>
      <w:r>
        <w:rPr>
          <w:rFonts w:ascii="Times New Roman" w:hAnsi="Times New Roman"/>
          <w:spacing w:val="20"/>
          <w:sz w:val="24"/>
          <w:szCs w:val="24"/>
        </w:rPr>
        <w:t xml:space="preserve">até </w:t>
      </w:r>
      <w:r w:rsidRPr="00432C92">
        <w:rPr>
          <w:rFonts w:ascii="Times New Roman" w:hAnsi="Times New Roman"/>
          <w:spacing w:val="20"/>
          <w:sz w:val="24"/>
          <w:szCs w:val="24"/>
        </w:rPr>
        <w:t>40 salários mínimos, cf. art. 833, X, do CPC/2015)</w:t>
      </w:r>
      <w:r>
        <w:rPr>
          <w:rFonts w:ascii="Times New Roman" w:hAnsi="Times New Roman"/>
          <w:spacing w:val="20"/>
          <w:sz w:val="24"/>
          <w:szCs w:val="24"/>
        </w:rPr>
        <w:t xml:space="preserve">, </w:t>
      </w:r>
      <w:r w:rsidRPr="00CA3CD5">
        <w:rPr>
          <w:rFonts w:ascii="Times New Roman" w:hAnsi="Times New Roman"/>
          <w:spacing w:val="20"/>
          <w:sz w:val="24"/>
          <w:szCs w:val="24"/>
        </w:rPr>
        <w:t xml:space="preserve">com </w:t>
      </w:r>
      <w:r>
        <w:rPr>
          <w:rFonts w:ascii="Times New Roman" w:hAnsi="Times New Roman"/>
          <w:spacing w:val="20"/>
          <w:sz w:val="24"/>
          <w:szCs w:val="24"/>
        </w:rPr>
        <w:t>natureza</w:t>
      </w:r>
      <w:r w:rsidRPr="00CA3CD5">
        <w:rPr>
          <w:rFonts w:ascii="Times New Roman" w:hAnsi="Times New Roman"/>
          <w:spacing w:val="20"/>
          <w:sz w:val="24"/>
          <w:szCs w:val="24"/>
        </w:rPr>
        <w:t xml:space="preserve"> de investimento (cf. art. 12, da Lei n. 8177, de 01.03.1991), não pode ser oponível contra todo e qualquer crédito</w:t>
      </w:r>
      <w:r w:rsidRPr="00432C92">
        <w:rPr>
          <w:rFonts w:ascii="Times New Roman" w:hAnsi="Times New Roman"/>
          <w:spacing w:val="20"/>
          <w:sz w:val="24"/>
          <w:szCs w:val="24"/>
        </w:rPr>
        <w:t xml:space="preserve">, </w:t>
      </w:r>
      <w:r>
        <w:rPr>
          <w:rFonts w:ascii="Times New Roman" w:hAnsi="Times New Roman"/>
          <w:spacing w:val="20"/>
          <w:sz w:val="24"/>
          <w:szCs w:val="24"/>
        </w:rPr>
        <w:t>sobressaindo, assim</w:t>
      </w:r>
      <w:r w:rsidRPr="00432C92">
        <w:rPr>
          <w:rFonts w:ascii="Times New Roman" w:hAnsi="Times New Roman"/>
          <w:spacing w:val="20"/>
          <w:sz w:val="24"/>
          <w:szCs w:val="24"/>
        </w:rPr>
        <w:t>, a necessidade de proteção</w:t>
      </w:r>
      <w:r>
        <w:rPr>
          <w:rFonts w:ascii="Times New Roman" w:hAnsi="Times New Roman"/>
          <w:spacing w:val="20"/>
          <w:sz w:val="24"/>
          <w:szCs w:val="24"/>
        </w:rPr>
        <w:t xml:space="preserve"> do salário do trabalhador/exequ</w:t>
      </w:r>
      <w:r w:rsidRPr="00432C92">
        <w:rPr>
          <w:rFonts w:ascii="Times New Roman" w:hAnsi="Times New Roman"/>
          <w:spacing w:val="20"/>
          <w:sz w:val="24"/>
          <w:szCs w:val="24"/>
        </w:rPr>
        <w:t>ente, sobretudo em situações em que não são nem sequer identificados ou indicados outros bens passív</w:t>
      </w:r>
      <w:r>
        <w:rPr>
          <w:rFonts w:ascii="Times New Roman" w:hAnsi="Times New Roman"/>
          <w:spacing w:val="20"/>
          <w:sz w:val="24"/>
          <w:szCs w:val="24"/>
        </w:rPr>
        <w:t>eis de constrição judicial (art</w:t>
      </w:r>
      <w:r w:rsidRPr="00432C92">
        <w:rPr>
          <w:rFonts w:ascii="Times New Roman" w:hAnsi="Times New Roman"/>
          <w:spacing w:val="20"/>
          <w:sz w:val="24"/>
          <w:szCs w:val="24"/>
        </w:rPr>
        <w:t>. 774, V, do CPC/2015).</w:t>
      </w:r>
    </w:p>
    <w:p w:rsidR="00494A40" w:rsidRDefault="00494A40" w:rsidP="00494A40">
      <w:pPr>
        <w:pStyle w:val="PargrafodaLista"/>
        <w:spacing w:after="0" w:line="360" w:lineRule="auto"/>
        <w:ind w:left="2127"/>
        <w:jc w:val="both"/>
        <w:rPr>
          <w:rFonts w:ascii="Times New Roman" w:hAnsi="Times New Roman"/>
          <w:spacing w:val="20"/>
          <w:sz w:val="24"/>
          <w:szCs w:val="24"/>
        </w:rPr>
      </w:pPr>
    </w:p>
    <w:p w:rsidR="00494A40" w:rsidRDefault="00494A40" w:rsidP="00494A40">
      <w:pPr>
        <w:pStyle w:val="PargrafodaLista"/>
        <w:spacing w:after="0" w:line="360" w:lineRule="auto"/>
        <w:ind w:left="2127"/>
        <w:jc w:val="both"/>
        <w:rPr>
          <w:rFonts w:ascii="Times New Roman" w:hAnsi="Times New Roman"/>
          <w:spacing w:val="20"/>
          <w:sz w:val="24"/>
          <w:szCs w:val="24"/>
        </w:rPr>
      </w:pPr>
      <w:r>
        <w:rPr>
          <w:rFonts w:ascii="Times New Roman" w:hAnsi="Times New Roman"/>
          <w:spacing w:val="20"/>
          <w:sz w:val="24"/>
          <w:szCs w:val="24"/>
        </w:rPr>
        <w:t>Marcelo Azevedo Chamone (chamone78@yahoo.com.br)</w:t>
      </w:r>
    </w:p>
    <w:p w:rsidR="00494A40" w:rsidRDefault="00494A40" w:rsidP="00494A40">
      <w:pPr>
        <w:spacing w:after="0" w:line="360" w:lineRule="auto"/>
        <w:ind w:firstLine="2126"/>
        <w:jc w:val="both"/>
        <w:rPr>
          <w:rFonts w:ascii="Times New Roman" w:hAnsi="Times New Roman"/>
          <w:spacing w:val="20"/>
          <w:sz w:val="24"/>
          <w:szCs w:val="24"/>
        </w:rPr>
      </w:pPr>
    </w:p>
    <w:p w:rsidR="00494A40" w:rsidRPr="00432C92" w:rsidRDefault="00494A40" w:rsidP="00494A40">
      <w:pPr>
        <w:pStyle w:val="PargrafodaLista"/>
        <w:spacing w:after="0" w:line="360" w:lineRule="auto"/>
        <w:ind w:left="0" w:firstLine="2127"/>
        <w:jc w:val="both"/>
        <w:rPr>
          <w:rFonts w:ascii="Times New Roman" w:hAnsi="Times New Roman"/>
          <w:spacing w:val="20"/>
          <w:sz w:val="24"/>
          <w:szCs w:val="24"/>
        </w:rPr>
      </w:pPr>
      <w:r w:rsidRPr="00432C92">
        <w:rPr>
          <w:rFonts w:ascii="Times New Roman" w:hAnsi="Times New Roman"/>
          <w:spacing w:val="20"/>
          <w:sz w:val="24"/>
          <w:szCs w:val="24"/>
        </w:rPr>
        <w:t>Verificado o nível de proteção atribuído pelo texto constitucional aos trabalhadores (</w:t>
      </w:r>
      <w:proofErr w:type="spellStart"/>
      <w:r w:rsidRPr="00D10A49">
        <w:rPr>
          <w:rFonts w:ascii="Times New Roman" w:hAnsi="Times New Roman"/>
          <w:spacing w:val="20"/>
          <w:szCs w:val="24"/>
        </w:rPr>
        <w:t>arts</w:t>
      </w:r>
      <w:proofErr w:type="spellEnd"/>
      <w:r w:rsidRPr="00D10A49">
        <w:rPr>
          <w:rFonts w:ascii="Times New Roman" w:hAnsi="Times New Roman"/>
          <w:spacing w:val="20"/>
          <w:szCs w:val="24"/>
        </w:rPr>
        <w:t xml:space="preserve">. 1º, IV, 6º, 7º e incisos, 170, </w:t>
      </w:r>
      <w:r w:rsidRPr="00D10A49">
        <w:rPr>
          <w:rFonts w:ascii="Times New Roman" w:hAnsi="Times New Roman"/>
          <w:i/>
          <w:spacing w:val="20"/>
          <w:szCs w:val="24"/>
        </w:rPr>
        <w:t>caput</w:t>
      </w:r>
      <w:r w:rsidRPr="00D10A49">
        <w:rPr>
          <w:rFonts w:ascii="Times New Roman" w:hAnsi="Times New Roman"/>
          <w:spacing w:val="20"/>
          <w:szCs w:val="24"/>
        </w:rPr>
        <w:t>, e 193</w:t>
      </w:r>
      <w:r w:rsidRPr="00432C92">
        <w:rPr>
          <w:rFonts w:ascii="Times New Roman" w:hAnsi="Times New Roman"/>
          <w:spacing w:val="20"/>
          <w:sz w:val="24"/>
          <w:szCs w:val="24"/>
        </w:rPr>
        <w:t xml:space="preserve">), cabe ao Estado </w:t>
      </w:r>
      <w:r>
        <w:rPr>
          <w:rFonts w:ascii="Times New Roman" w:hAnsi="Times New Roman"/>
          <w:spacing w:val="20"/>
          <w:sz w:val="24"/>
          <w:szCs w:val="24"/>
        </w:rPr>
        <w:t>–</w:t>
      </w:r>
      <w:r w:rsidRPr="00432C92">
        <w:rPr>
          <w:rFonts w:ascii="Times New Roman" w:hAnsi="Times New Roman"/>
          <w:spacing w:val="20"/>
          <w:sz w:val="24"/>
          <w:szCs w:val="24"/>
        </w:rPr>
        <w:t xml:space="preserve"> </w:t>
      </w:r>
      <w:r w:rsidRPr="00D10A49">
        <w:rPr>
          <w:rFonts w:ascii="Times New Roman" w:hAnsi="Times New Roman"/>
          <w:spacing w:val="20"/>
          <w:szCs w:val="24"/>
        </w:rPr>
        <w:t xml:space="preserve">como corolário do </w:t>
      </w:r>
      <w:r w:rsidRPr="00D10A49">
        <w:rPr>
          <w:rFonts w:ascii="Times New Roman" w:hAnsi="Times New Roman"/>
          <w:i/>
          <w:spacing w:val="20"/>
          <w:szCs w:val="24"/>
        </w:rPr>
        <w:t>Estado de Direito</w:t>
      </w:r>
      <w:r w:rsidRPr="00D10A49">
        <w:rPr>
          <w:rFonts w:ascii="Times New Roman" w:hAnsi="Times New Roman"/>
          <w:spacing w:val="20"/>
          <w:szCs w:val="24"/>
        </w:rPr>
        <w:t xml:space="preserve"> (art. 1º, caput, da CF, cf. </w:t>
      </w:r>
      <w:r w:rsidRPr="00D10A49">
        <w:rPr>
          <w:rFonts w:ascii="Times New Roman" w:hAnsi="Times New Roman"/>
          <w:smallCaps/>
          <w:spacing w:val="20"/>
          <w:szCs w:val="24"/>
        </w:rPr>
        <w:t>Luís Roberto Barroso</w:t>
      </w:r>
      <w:r w:rsidRPr="00D10A49">
        <w:rPr>
          <w:rFonts w:ascii="Times New Roman" w:hAnsi="Times New Roman"/>
          <w:spacing w:val="20"/>
          <w:szCs w:val="24"/>
        </w:rPr>
        <w:t xml:space="preserve">, </w:t>
      </w:r>
      <w:r w:rsidRPr="00D10A49">
        <w:rPr>
          <w:rFonts w:ascii="Times New Roman" w:hAnsi="Times New Roman"/>
          <w:i/>
          <w:spacing w:val="20"/>
          <w:szCs w:val="24"/>
        </w:rPr>
        <w:t>Interpretação e aplicação da constituição</w:t>
      </w:r>
      <w:r w:rsidRPr="00D10A49">
        <w:rPr>
          <w:rFonts w:ascii="Times New Roman" w:hAnsi="Times New Roman"/>
          <w:spacing w:val="20"/>
          <w:szCs w:val="24"/>
        </w:rPr>
        <w:t xml:space="preserve">, 1998, p. 123; </w:t>
      </w:r>
      <w:proofErr w:type="spellStart"/>
      <w:r w:rsidRPr="00D10A49">
        <w:rPr>
          <w:rFonts w:ascii="Times New Roman" w:hAnsi="Times New Roman"/>
          <w:smallCaps/>
          <w:spacing w:val="20"/>
          <w:szCs w:val="24"/>
        </w:rPr>
        <w:t>Lênio</w:t>
      </w:r>
      <w:proofErr w:type="spellEnd"/>
      <w:r w:rsidRPr="00D10A49">
        <w:rPr>
          <w:rFonts w:ascii="Times New Roman" w:hAnsi="Times New Roman"/>
          <w:smallCaps/>
          <w:spacing w:val="20"/>
          <w:szCs w:val="24"/>
        </w:rPr>
        <w:t xml:space="preserve"> Luiz </w:t>
      </w:r>
      <w:proofErr w:type="spellStart"/>
      <w:r w:rsidRPr="00D10A49">
        <w:rPr>
          <w:rFonts w:ascii="Times New Roman" w:hAnsi="Times New Roman"/>
          <w:smallCaps/>
          <w:spacing w:val="20"/>
          <w:szCs w:val="24"/>
        </w:rPr>
        <w:t>Streck</w:t>
      </w:r>
      <w:proofErr w:type="spellEnd"/>
      <w:r w:rsidRPr="00D10A49">
        <w:rPr>
          <w:rFonts w:ascii="Times New Roman" w:hAnsi="Times New Roman"/>
          <w:spacing w:val="20"/>
          <w:szCs w:val="24"/>
        </w:rPr>
        <w:t xml:space="preserve">, A dupla face do princípio da proporcionalidade, </w:t>
      </w:r>
      <w:r w:rsidRPr="00D10A49">
        <w:rPr>
          <w:rFonts w:ascii="Times New Roman" w:hAnsi="Times New Roman"/>
          <w:i/>
          <w:spacing w:val="20"/>
          <w:szCs w:val="24"/>
        </w:rPr>
        <w:t>Revista da Ajuris</w:t>
      </w:r>
      <w:r w:rsidRPr="00D10A49">
        <w:rPr>
          <w:rFonts w:ascii="Times New Roman" w:hAnsi="Times New Roman"/>
          <w:spacing w:val="20"/>
          <w:szCs w:val="24"/>
        </w:rPr>
        <w:t>, n. 97, mar.2005, item 4)</w:t>
      </w:r>
      <w:r w:rsidRPr="00432C92">
        <w:rPr>
          <w:rFonts w:ascii="Times New Roman" w:hAnsi="Times New Roman"/>
          <w:spacing w:val="20"/>
          <w:sz w:val="24"/>
          <w:szCs w:val="24"/>
        </w:rPr>
        <w:t xml:space="preserve"> </w:t>
      </w:r>
      <w:r>
        <w:rPr>
          <w:rFonts w:ascii="Times New Roman" w:hAnsi="Times New Roman"/>
          <w:spacing w:val="20"/>
          <w:sz w:val="24"/>
          <w:szCs w:val="24"/>
        </w:rPr>
        <w:t>–</w:t>
      </w:r>
      <w:r w:rsidRPr="00432C92">
        <w:rPr>
          <w:rFonts w:ascii="Times New Roman" w:hAnsi="Times New Roman"/>
          <w:spacing w:val="20"/>
          <w:sz w:val="24"/>
          <w:szCs w:val="24"/>
        </w:rPr>
        <w:t xml:space="preserve"> adotar as medidas para assegurar a proteção do salário (art. 7º, X, da CF), não se admitindo nem a proteção deficiente (</w:t>
      </w:r>
      <w:proofErr w:type="spellStart"/>
      <w:r w:rsidRPr="00432C92">
        <w:rPr>
          <w:rFonts w:ascii="Times New Roman" w:hAnsi="Times New Roman"/>
          <w:i/>
          <w:spacing w:val="20"/>
          <w:sz w:val="24"/>
          <w:szCs w:val="24"/>
        </w:rPr>
        <w:t>Untermassverbot</w:t>
      </w:r>
      <w:proofErr w:type="spellEnd"/>
      <w:r w:rsidRPr="00432C92">
        <w:rPr>
          <w:rFonts w:ascii="Times New Roman" w:hAnsi="Times New Roman"/>
          <w:spacing w:val="20"/>
          <w:sz w:val="24"/>
          <w:szCs w:val="24"/>
        </w:rPr>
        <w:t>), nem o excesso na atuação estatal (</w:t>
      </w:r>
      <w:proofErr w:type="spellStart"/>
      <w:r w:rsidRPr="00432C92">
        <w:rPr>
          <w:rFonts w:ascii="Times New Roman" w:hAnsi="Times New Roman"/>
          <w:i/>
          <w:spacing w:val="20"/>
          <w:sz w:val="24"/>
          <w:szCs w:val="24"/>
        </w:rPr>
        <w:t>Übermassverbot</w:t>
      </w:r>
      <w:proofErr w:type="spellEnd"/>
      <w:r w:rsidRPr="00432C92">
        <w:rPr>
          <w:rFonts w:ascii="Times New Roman" w:hAnsi="Times New Roman"/>
          <w:spacing w:val="20"/>
          <w:sz w:val="24"/>
          <w:szCs w:val="24"/>
        </w:rPr>
        <w:t xml:space="preserve">), assegurando-se a proteção </w:t>
      </w:r>
      <w:r w:rsidRPr="00432C92">
        <w:rPr>
          <w:rFonts w:ascii="Times New Roman" w:hAnsi="Times New Roman"/>
          <w:b/>
          <w:spacing w:val="20"/>
          <w:sz w:val="24"/>
          <w:szCs w:val="24"/>
          <w:u w:val="single"/>
        </w:rPr>
        <w:t>adequada</w:t>
      </w:r>
      <w:r w:rsidRPr="00432C92">
        <w:rPr>
          <w:rFonts w:ascii="Times New Roman" w:hAnsi="Times New Roman"/>
          <w:spacing w:val="20"/>
          <w:sz w:val="24"/>
          <w:szCs w:val="24"/>
        </w:rPr>
        <w:t xml:space="preserve"> dos direitos de todas as pessoas envolvidas na relação jurídica em análise, que</w:t>
      </w:r>
    </w:p>
    <w:p w:rsidR="00494A40" w:rsidRPr="00432C92" w:rsidRDefault="00494A40" w:rsidP="00494A40">
      <w:pPr>
        <w:pStyle w:val="PargrafodaLista"/>
        <w:spacing w:after="0" w:line="360" w:lineRule="auto"/>
        <w:ind w:left="0" w:firstLine="2268"/>
        <w:jc w:val="both"/>
        <w:rPr>
          <w:rFonts w:ascii="Times New Roman" w:hAnsi="Times New Roman"/>
          <w:spacing w:val="20"/>
          <w:sz w:val="24"/>
          <w:szCs w:val="24"/>
        </w:rPr>
      </w:pPr>
    </w:p>
    <w:p w:rsidR="00494A40" w:rsidRPr="00432C92" w:rsidRDefault="00494A40" w:rsidP="00494A40">
      <w:pPr>
        <w:pStyle w:val="PargrafodaLista"/>
        <w:spacing w:after="0" w:line="360" w:lineRule="auto"/>
        <w:ind w:left="2268"/>
        <w:jc w:val="both"/>
        <w:rPr>
          <w:rFonts w:ascii="Times New Roman" w:hAnsi="Times New Roman"/>
          <w:spacing w:val="20"/>
          <w:sz w:val="24"/>
          <w:szCs w:val="24"/>
        </w:rPr>
      </w:pPr>
      <w:r w:rsidRPr="00432C92">
        <w:rPr>
          <w:rFonts w:ascii="Times New Roman" w:hAnsi="Times New Roman"/>
          <w:spacing w:val="20"/>
          <w:sz w:val="24"/>
          <w:szCs w:val="24"/>
        </w:rPr>
        <w:lastRenderedPageBreak/>
        <w:t>“</w:t>
      </w:r>
      <w:proofErr w:type="gramStart"/>
      <w:r w:rsidRPr="00432C92">
        <w:rPr>
          <w:rFonts w:ascii="Times New Roman" w:hAnsi="Times New Roman"/>
          <w:spacing w:val="20"/>
          <w:sz w:val="24"/>
          <w:szCs w:val="24"/>
        </w:rPr>
        <w:t>pressupõe</w:t>
      </w:r>
      <w:proofErr w:type="gramEnd"/>
      <w:r w:rsidRPr="00432C92">
        <w:rPr>
          <w:rFonts w:ascii="Times New Roman" w:hAnsi="Times New Roman"/>
          <w:spacing w:val="20"/>
          <w:sz w:val="24"/>
          <w:szCs w:val="24"/>
        </w:rPr>
        <w:t xml:space="preserve"> não só a legitimidade dos meios utilizados e dos fins perseguidos pelo legislador, mas também a </w:t>
      </w:r>
      <w:r w:rsidRPr="00432C92">
        <w:rPr>
          <w:rFonts w:ascii="Times New Roman" w:hAnsi="Times New Roman"/>
          <w:i/>
          <w:spacing w:val="20"/>
          <w:sz w:val="24"/>
          <w:szCs w:val="24"/>
        </w:rPr>
        <w:t>adequação</w:t>
      </w:r>
      <w:r w:rsidRPr="00432C92">
        <w:rPr>
          <w:rFonts w:ascii="Times New Roman" w:hAnsi="Times New Roman"/>
          <w:spacing w:val="20"/>
          <w:sz w:val="24"/>
          <w:szCs w:val="24"/>
        </w:rPr>
        <w:t xml:space="preserve"> desses meios para consecução dos objetivos pretendidos (</w:t>
      </w:r>
      <w:proofErr w:type="spellStart"/>
      <w:r w:rsidRPr="00432C92">
        <w:rPr>
          <w:rFonts w:ascii="Times New Roman" w:hAnsi="Times New Roman"/>
          <w:i/>
          <w:spacing w:val="20"/>
          <w:sz w:val="24"/>
          <w:szCs w:val="24"/>
        </w:rPr>
        <w:t>Geeignetheit</w:t>
      </w:r>
      <w:proofErr w:type="spellEnd"/>
      <w:r w:rsidRPr="00432C92">
        <w:rPr>
          <w:rFonts w:ascii="Times New Roman" w:hAnsi="Times New Roman"/>
          <w:spacing w:val="20"/>
          <w:sz w:val="24"/>
          <w:szCs w:val="24"/>
        </w:rPr>
        <w:t xml:space="preserve">) e a </w:t>
      </w:r>
      <w:r w:rsidRPr="00432C92">
        <w:rPr>
          <w:rFonts w:ascii="Times New Roman" w:hAnsi="Times New Roman"/>
          <w:i/>
          <w:spacing w:val="20"/>
          <w:sz w:val="24"/>
          <w:szCs w:val="24"/>
        </w:rPr>
        <w:t>necessidade</w:t>
      </w:r>
      <w:r w:rsidRPr="00432C92">
        <w:rPr>
          <w:rFonts w:ascii="Times New Roman" w:hAnsi="Times New Roman"/>
          <w:spacing w:val="20"/>
          <w:sz w:val="24"/>
          <w:szCs w:val="24"/>
        </w:rPr>
        <w:t xml:space="preserve"> de sua utilização (</w:t>
      </w:r>
      <w:proofErr w:type="spellStart"/>
      <w:r w:rsidRPr="00432C92">
        <w:rPr>
          <w:rFonts w:ascii="Times New Roman" w:hAnsi="Times New Roman"/>
          <w:i/>
          <w:spacing w:val="20"/>
          <w:sz w:val="24"/>
          <w:szCs w:val="24"/>
        </w:rPr>
        <w:t>Notwendigkeit</w:t>
      </w:r>
      <w:proofErr w:type="spellEnd"/>
      <w:r w:rsidRPr="00432C92">
        <w:rPr>
          <w:rFonts w:ascii="Times New Roman" w:hAnsi="Times New Roman"/>
          <w:i/>
          <w:spacing w:val="20"/>
          <w:sz w:val="24"/>
          <w:szCs w:val="24"/>
        </w:rPr>
        <w:t xml:space="preserve"> </w:t>
      </w:r>
      <w:proofErr w:type="spellStart"/>
      <w:r w:rsidRPr="00432C92">
        <w:rPr>
          <w:rFonts w:ascii="Times New Roman" w:hAnsi="Times New Roman"/>
          <w:i/>
          <w:spacing w:val="20"/>
          <w:sz w:val="24"/>
          <w:szCs w:val="24"/>
        </w:rPr>
        <w:t>oder</w:t>
      </w:r>
      <w:proofErr w:type="spellEnd"/>
      <w:r w:rsidRPr="00432C92">
        <w:rPr>
          <w:rFonts w:ascii="Times New Roman" w:hAnsi="Times New Roman"/>
          <w:i/>
          <w:spacing w:val="20"/>
          <w:sz w:val="24"/>
          <w:szCs w:val="24"/>
        </w:rPr>
        <w:t xml:space="preserve"> </w:t>
      </w:r>
      <w:proofErr w:type="spellStart"/>
      <w:r w:rsidRPr="00432C92">
        <w:rPr>
          <w:rFonts w:ascii="Times New Roman" w:hAnsi="Times New Roman"/>
          <w:i/>
          <w:spacing w:val="20"/>
          <w:sz w:val="24"/>
          <w:szCs w:val="24"/>
        </w:rPr>
        <w:t>Erforrderlichkeit</w:t>
      </w:r>
      <w:proofErr w:type="spellEnd"/>
      <w:r w:rsidRPr="00432C92">
        <w:rPr>
          <w:rFonts w:ascii="Times New Roman" w:hAnsi="Times New Roman"/>
          <w:spacing w:val="20"/>
          <w:sz w:val="24"/>
          <w:szCs w:val="24"/>
        </w:rPr>
        <w:t xml:space="preserve">). Um juízo definitivo sobre a proporcionalidade ou razoabilidade da medida </w:t>
      </w:r>
      <w:proofErr w:type="spellStart"/>
      <w:r w:rsidRPr="00432C92">
        <w:rPr>
          <w:rFonts w:ascii="Times New Roman" w:hAnsi="Times New Roman"/>
          <w:spacing w:val="20"/>
          <w:sz w:val="24"/>
          <w:szCs w:val="24"/>
        </w:rPr>
        <w:t>hã</w:t>
      </w:r>
      <w:proofErr w:type="spellEnd"/>
      <w:r w:rsidRPr="00432C92">
        <w:rPr>
          <w:rFonts w:ascii="Times New Roman" w:hAnsi="Times New Roman"/>
          <w:spacing w:val="20"/>
          <w:sz w:val="24"/>
          <w:szCs w:val="24"/>
        </w:rPr>
        <w:t xml:space="preserve"> de resultar da rigorosa ponderação entre o significado da intervenção para o atingido e os objetivos perseguidos pelo legislador (</w:t>
      </w:r>
      <w:r w:rsidRPr="00432C92">
        <w:rPr>
          <w:rFonts w:ascii="Times New Roman" w:hAnsi="Times New Roman"/>
          <w:i/>
          <w:spacing w:val="20"/>
          <w:sz w:val="24"/>
          <w:szCs w:val="24"/>
        </w:rPr>
        <w:t>proporcionalidade ou razoabilidade em sentido estrito</w:t>
      </w:r>
      <w:r w:rsidRPr="00432C92">
        <w:rPr>
          <w:rFonts w:ascii="Times New Roman" w:hAnsi="Times New Roman"/>
          <w:spacing w:val="20"/>
          <w:sz w:val="24"/>
          <w:szCs w:val="24"/>
        </w:rPr>
        <w:t>).</w:t>
      </w:r>
    </w:p>
    <w:p w:rsidR="00494A40" w:rsidRPr="00432C92" w:rsidRDefault="00494A40" w:rsidP="00494A40">
      <w:pPr>
        <w:pStyle w:val="PargrafodaLista"/>
        <w:spacing w:after="0" w:line="360" w:lineRule="auto"/>
        <w:ind w:left="2268"/>
        <w:jc w:val="both"/>
        <w:rPr>
          <w:rFonts w:ascii="Times New Roman" w:hAnsi="Times New Roman"/>
          <w:spacing w:val="20"/>
          <w:sz w:val="24"/>
          <w:szCs w:val="24"/>
        </w:rPr>
      </w:pPr>
      <w:r w:rsidRPr="00432C92">
        <w:rPr>
          <w:rFonts w:ascii="Times New Roman" w:hAnsi="Times New Roman"/>
          <w:spacing w:val="20"/>
          <w:sz w:val="24"/>
          <w:szCs w:val="24"/>
        </w:rPr>
        <w:t xml:space="preserve">O pressuposto da </w:t>
      </w:r>
      <w:r w:rsidRPr="00432C92">
        <w:rPr>
          <w:rFonts w:ascii="Times New Roman" w:hAnsi="Times New Roman"/>
          <w:i/>
          <w:spacing w:val="20"/>
          <w:sz w:val="24"/>
          <w:szCs w:val="24"/>
        </w:rPr>
        <w:t>adequação</w:t>
      </w:r>
      <w:r w:rsidRPr="00432C92">
        <w:rPr>
          <w:rFonts w:ascii="Times New Roman" w:hAnsi="Times New Roman"/>
          <w:spacing w:val="20"/>
          <w:sz w:val="24"/>
          <w:szCs w:val="24"/>
        </w:rPr>
        <w:t xml:space="preserve"> (</w:t>
      </w:r>
      <w:proofErr w:type="spellStart"/>
      <w:r w:rsidRPr="00432C92">
        <w:rPr>
          <w:rFonts w:ascii="Times New Roman" w:hAnsi="Times New Roman"/>
          <w:i/>
          <w:spacing w:val="20"/>
          <w:sz w:val="24"/>
          <w:szCs w:val="24"/>
        </w:rPr>
        <w:t>Geeignetheit</w:t>
      </w:r>
      <w:proofErr w:type="spellEnd"/>
      <w:r w:rsidRPr="00432C92">
        <w:rPr>
          <w:rFonts w:ascii="Times New Roman" w:hAnsi="Times New Roman"/>
          <w:spacing w:val="20"/>
          <w:sz w:val="24"/>
          <w:szCs w:val="24"/>
        </w:rPr>
        <w:t xml:space="preserve">) exige que as medidas interventivas adotadas mostrem-se aptas a atingir os objetivos pretendidos. O requisito da </w:t>
      </w:r>
      <w:r w:rsidRPr="00432C92">
        <w:rPr>
          <w:rFonts w:ascii="Times New Roman" w:hAnsi="Times New Roman"/>
          <w:i/>
          <w:spacing w:val="20"/>
          <w:sz w:val="24"/>
          <w:szCs w:val="24"/>
        </w:rPr>
        <w:t>necessidade</w:t>
      </w:r>
      <w:r w:rsidRPr="00432C92">
        <w:rPr>
          <w:rFonts w:ascii="Times New Roman" w:hAnsi="Times New Roman"/>
          <w:spacing w:val="20"/>
          <w:sz w:val="24"/>
          <w:szCs w:val="24"/>
        </w:rPr>
        <w:t xml:space="preserve"> ou da </w:t>
      </w:r>
      <w:r w:rsidRPr="00432C92">
        <w:rPr>
          <w:rFonts w:ascii="Times New Roman" w:hAnsi="Times New Roman"/>
          <w:i/>
          <w:spacing w:val="20"/>
          <w:sz w:val="24"/>
          <w:szCs w:val="24"/>
        </w:rPr>
        <w:t>exigibilidade</w:t>
      </w:r>
      <w:r w:rsidRPr="00432C92">
        <w:rPr>
          <w:rFonts w:ascii="Times New Roman" w:hAnsi="Times New Roman"/>
          <w:spacing w:val="20"/>
          <w:sz w:val="24"/>
          <w:szCs w:val="24"/>
        </w:rPr>
        <w:t xml:space="preserve"> (</w:t>
      </w:r>
      <w:proofErr w:type="spellStart"/>
      <w:r w:rsidRPr="00432C92">
        <w:rPr>
          <w:rFonts w:ascii="Times New Roman" w:hAnsi="Times New Roman"/>
          <w:i/>
          <w:spacing w:val="20"/>
          <w:sz w:val="24"/>
          <w:szCs w:val="24"/>
        </w:rPr>
        <w:t>Notwendigkeit</w:t>
      </w:r>
      <w:proofErr w:type="spellEnd"/>
      <w:r w:rsidRPr="00432C92">
        <w:rPr>
          <w:rFonts w:ascii="Times New Roman" w:hAnsi="Times New Roman"/>
          <w:i/>
          <w:spacing w:val="20"/>
          <w:sz w:val="24"/>
          <w:szCs w:val="24"/>
        </w:rPr>
        <w:t xml:space="preserve"> </w:t>
      </w:r>
      <w:proofErr w:type="spellStart"/>
      <w:r w:rsidRPr="00432C92">
        <w:rPr>
          <w:rFonts w:ascii="Times New Roman" w:hAnsi="Times New Roman"/>
          <w:i/>
          <w:spacing w:val="20"/>
          <w:sz w:val="24"/>
          <w:szCs w:val="24"/>
        </w:rPr>
        <w:t>oder</w:t>
      </w:r>
      <w:proofErr w:type="spellEnd"/>
      <w:r w:rsidRPr="00432C92">
        <w:rPr>
          <w:rFonts w:ascii="Times New Roman" w:hAnsi="Times New Roman"/>
          <w:i/>
          <w:spacing w:val="20"/>
          <w:sz w:val="24"/>
          <w:szCs w:val="24"/>
        </w:rPr>
        <w:t xml:space="preserve"> </w:t>
      </w:r>
      <w:proofErr w:type="spellStart"/>
      <w:r w:rsidRPr="00432C92">
        <w:rPr>
          <w:rFonts w:ascii="Times New Roman" w:hAnsi="Times New Roman"/>
          <w:i/>
          <w:spacing w:val="20"/>
          <w:sz w:val="24"/>
          <w:szCs w:val="24"/>
        </w:rPr>
        <w:t>Erforderlichkeit</w:t>
      </w:r>
      <w:proofErr w:type="spellEnd"/>
      <w:r w:rsidRPr="00432C92">
        <w:rPr>
          <w:rFonts w:ascii="Times New Roman" w:hAnsi="Times New Roman"/>
          <w:spacing w:val="20"/>
          <w:sz w:val="24"/>
          <w:szCs w:val="24"/>
        </w:rPr>
        <w:t xml:space="preserve">) significa que nenhum meio menos gravoso para o indivíduo revelar-se-ia igualmente eficaz na consecução dos objetivos pretendidos. Assim, apenas o que é </w:t>
      </w:r>
      <w:r w:rsidRPr="00432C92">
        <w:rPr>
          <w:rFonts w:ascii="Times New Roman" w:hAnsi="Times New Roman"/>
          <w:i/>
          <w:spacing w:val="20"/>
          <w:sz w:val="24"/>
          <w:szCs w:val="24"/>
        </w:rPr>
        <w:t>adequado</w:t>
      </w:r>
      <w:r w:rsidRPr="00432C92">
        <w:rPr>
          <w:rFonts w:ascii="Times New Roman" w:hAnsi="Times New Roman"/>
          <w:spacing w:val="20"/>
          <w:sz w:val="24"/>
          <w:szCs w:val="24"/>
        </w:rPr>
        <w:t xml:space="preserve"> pode ser </w:t>
      </w:r>
      <w:r w:rsidRPr="00432C92">
        <w:rPr>
          <w:rFonts w:ascii="Times New Roman" w:hAnsi="Times New Roman"/>
          <w:i/>
          <w:spacing w:val="20"/>
          <w:sz w:val="24"/>
          <w:szCs w:val="24"/>
        </w:rPr>
        <w:t>necessário</w:t>
      </w:r>
      <w:r w:rsidRPr="00432C92">
        <w:rPr>
          <w:rFonts w:ascii="Times New Roman" w:hAnsi="Times New Roman"/>
          <w:spacing w:val="20"/>
          <w:sz w:val="24"/>
          <w:szCs w:val="24"/>
        </w:rPr>
        <w:t xml:space="preserve">, mas o que é </w:t>
      </w:r>
      <w:r w:rsidRPr="00432C92">
        <w:rPr>
          <w:rFonts w:ascii="Times New Roman" w:hAnsi="Times New Roman"/>
          <w:i/>
          <w:spacing w:val="20"/>
          <w:sz w:val="24"/>
          <w:szCs w:val="24"/>
        </w:rPr>
        <w:t>necessário</w:t>
      </w:r>
      <w:r w:rsidRPr="00432C92">
        <w:rPr>
          <w:rFonts w:ascii="Times New Roman" w:hAnsi="Times New Roman"/>
          <w:spacing w:val="20"/>
          <w:sz w:val="24"/>
          <w:szCs w:val="24"/>
        </w:rPr>
        <w:t xml:space="preserve"> não pode ser </w:t>
      </w:r>
      <w:r w:rsidRPr="00432C92">
        <w:rPr>
          <w:rFonts w:ascii="Times New Roman" w:hAnsi="Times New Roman"/>
          <w:i/>
          <w:spacing w:val="20"/>
          <w:sz w:val="24"/>
          <w:szCs w:val="24"/>
        </w:rPr>
        <w:t>inadequado</w:t>
      </w:r>
      <w:r w:rsidRPr="00432C92">
        <w:rPr>
          <w:rFonts w:ascii="Times New Roman" w:hAnsi="Times New Roman"/>
          <w:spacing w:val="20"/>
          <w:sz w:val="24"/>
          <w:szCs w:val="24"/>
        </w:rPr>
        <w:t>”</w:t>
      </w:r>
    </w:p>
    <w:p w:rsidR="00494A40" w:rsidRPr="00432C92" w:rsidRDefault="00494A40" w:rsidP="00494A40">
      <w:pPr>
        <w:pStyle w:val="PargrafodaLista"/>
        <w:spacing w:after="0" w:line="360" w:lineRule="auto"/>
        <w:ind w:left="2268"/>
        <w:jc w:val="both"/>
        <w:rPr>
          <w:rFonts w:ascii="Times New Roman" w:hAnsi="Times New Roman"/>
          <w:spacing w:val="20"/>
          <w:sz w:val="24"/>
          <w:szCs w:val="24"/>
        </w:rPr>
      </w:pPr>
      <w:r w:rsidRPr="00432C92">
        <w:rPr>
          <w:rFonts w:ascii="Times New Roman" w:hAnsi="Times New Roman"/>
          <w:smallCaps/>
          <w:spacing w:val="20"/>
          <w:sz w:val="24"/>
          <w:szCs w:val="24"/>
        </w:rPr>
        <w:t>Gilmar Ferreira Mendes</w:t>
      </w:r>
      <w:r w:rsidRPr="00432C92">
        <w:rPr>
          <w:rFonts w:ascii="Times New Roman" w:hAnsi="Times New Roman"/>
          <w:spacing w:val="20"/>
          <w:sz w:val="24"/>
          <w:szCs w:val="24"/>
        </w:rPr>
        <w:t xml:space="preserve">, A proporcionalidade na jurisprudência do Supremo Tribunal Federal, </w:t>
      </w:r>
      <w:r w:rsidRPr="00432C92">
        <w:rPr>
          <w:rFonts w:ascii="Times New Roman" w:hAnsi="Times New Roman"/>
          <w:i/>
          <w:spacing w:val="20"/>
          <w:sz w:val="24"/>
          <w:szCs w:val="24"/>
        </w:rPr>
        <w:t>Repertório IOB de Jurisprudência</w:t>
      </w:r>
      <w:r w:rsidRPr="00432C92">
        <w:rPr>
          <w:rFonts w:ascii="Times New Roman" w:hAnsi="Times New Roman"/>
          <w:spacing w:val="20"/>
          <w:sz w:val="24"/>
          <w:szCs w:val="24"/>
        </w:rPr>
        <w:t xml:space="preserve">, n. 23, dez.1994, p. 475, citando </w:t>
      </w:r>
      <w:proofErr w:type="spellStart"/>
      <w:r w:rsidRPr="00432C92">
        <w:rPr>
          <w:rFonts w:ascii="Times New Roman" w:hAnsi="Times New Roman"/>
          <w:smallCaps/>
          <w:spacing w:val="20"/>
          <w:sz w:val="24"/>
          <w:szCs w:val="24"/>
        </w:rPr>
        <w:t>Bodo</w:t>
      </w:r>
      <w:proofErr w:type="spellEnd"/>
      <w:r w:rsidRPr="00432C92">
        <w:rPr>
          <w:rFonts w:ascii="Times New Roman" w:hAnsi="Times New Roman"/>
          <w:spacing w:val="20"/>
          <w:sz w:val="24"/>
          <w:szCs w:val="24"/>
        </w:rPr>
        <w:t xml:space="preserve"> </w:t>
      </w:r>
      <w:proofErr w:type="spellStart"/>
      <w:r w:rsidRPr="00432C92">
        <w:rPr>
          <w:rFonts w:ascii="Times New Roman" w:hAnsi="Times New Roman"/>
          <w:smallCaps/>
          <w:spacing w:val="20"/>
          <w:sz w:val="24"/>
          <w:szCs w:val="24"/>
        </w:rPr>
        <w:t>Pieroth</w:t>
      </w:r>
      <w:proofErr w:type="spellEnd"/>
      <w:r w:rsidRPr="00432C92">
        <w:rPr>
          <w:rFonts w:ascii="Times New Roman" w:hAnsi="Times New Roman"/>
          <w:spacing w:val="20"/>
          <w:sz w:val="24"/>
          <w:szCs w:val="24"/>
        </w:rPr>
        <w:t xml:space="preserve"> &amp; </w:t>
      </w:r>
      <w:r w:rsidRPr="00432C92">
        <w:rPr>
          <w:rFonts w:ascii="Times New Roman" w:hAnsi="Times New Roman"/>
          <w:smallCaps/>
          <w:spacing w:val="20"/>
          <w:sz w:val="24"/>
          <w:szCs w:val="24"/>
        </w:rPr>
        <w:t xml:space="preserve">Bernhard </w:t>
      </w:r>
      <w:proofErr w:type="spellStart"/>
      <w:r w:rsidRPr="00432C92">
        <w:rPr>
          <w:rFonts w:ascii="Times New Roman" w:hAnsi="Times New Roman"/>
          <w:smallCaps/>
          <w:spacing w:val="20"/>
          <w:sz w:val="24"/>
          <w:szCs w:val="24"/>
        </w:rPr>
        <w:t>Schlink</w:t>
      </w:r>
      <w:proofErr w:type="spellEnd"/>
      <w:r w:rsidRPr="00432C92">
        <w:rPr>
          <w:rFonts w:ascii="Times New Roman" w:hAnsi="Times New Roman"/>
          <w:spacing w:val="20"/>
          <w:sz w:val="24"/>
          <w:szCs w:val="24"/>
        </w:rPr>
        <w:t xml:space="preserve">, </w:t>
      </w:r>
      <w:proofErr w:type="spellStart"/>
      <w:r w:rsidRPr="00432C92">
        <w:rPr>
          <w:rFonts w:ascii="Times New Roman" w:hAnsi="Times New Roman"/>
          <w:i/>
          <w:spacing w:val="20"/>
          <w:sz w:val="24"/>
          <w:szCs w:val="24"/>
        </w:rPr>
        <w:t>Staatsrecht</w:t>
      </w:r>
      <w:proofErr w:type="spellEnd"/>
      <w:r w:rsidRPr="00432C92">
        <w:rPr>
          <w:rFonts w:ascii="Times New Roman" w:hAnsi="Times New Roman"/>
          <w:i/>
          <w:spacing w:val="20"/>
          <w:sz w:val="24"/>
          <w:szCs w:val="24"/>
        </w:rPr>
        <w:t xml:space="preserve"> II - </w:t>
      </w:r>
      <w:proofErr w:type="spellStart"/>
      <w:r w:rsidRPr="00432C92">
        <w:rPr>
          <w:rFonts w:ascii="Times New Roman" w:hAnsi="Times New Roman"/>
          <w:i/>
          <w:spacing w:val="20"/>
          <w:sz w:val="24"/>
          <w:szCs w:val="24"/>
        </w:rPr>
        <w:t>Grundrechte</w:t>
      </w:r>
      <w:proofErr w:type="spellEnd"/>
      <w:r w:rsidRPr="00432C92">
        <w:rPr>
          <w:rFonts w:ascii="Times New Roman" w:hAnsi="Times New Roman"/>
          <w:spacing w:val="20"/>
          <w:sz w:val="24"/>
          <w:szCs w:val="24"/>
        </w:rPr>
        <w:t>, 1988, p. 70-73.</w:t>
      </w:r>
    </w:p>
    <w:p w:rsidR="00494A40" w:rsidRPr="00432C92" w:rsidRDefault="00494A40" w:rsidP="00494A40">
      <w:pPr>
        <w:pStyle w:val="PargrafodaLista"/>
        <w:spacing w:after="0" w:line="360" w:lineRule="auto"/>
        <w:ind w:left="0" w:firstLine="2268"/>
        <w:jc w:val="both"/>
        <w:rPr>
          <w:rFonts w:ascii="Times New Roman" w:hAnsi="Times New Roman"/>
          <w:spacing w:val="20"/>
          <w:sz w:val="24"/>
          <w:szCs w:val="24"/>
        </w:rPr>
      </w:pPr>
    </w:p>
    <w:p w:rsidR="00494A40" w:rsidRPr="00432C92" w:rsidRDefault="00494A40" w:rsidP="00494A40">
      <w:pPr>
        <w:pStyle w:val="PargrafodaLista"/>
        <w:spacing w:after="0" w:line="360" w:lineRule="auto"/>
        <w:ind w:left="2268"/>
        <w:jc w:val="both"/>
        <w:rPr>
          <w:rFonts w:ascii="Times New Roman" w:hAnsi="Times New Roman"/>
          <w:spacing w:val="20"/>
          <w:sz w:val="24"/>
          <w:szCs w:val="24"/>
        </w:rPr>
      </w:pPr>
      <w:r w:rsidRPr="00432C92">
        <w:rPr>
          <w:rFonts w:ascii="Times New Roman" w:hAnsi="Times New Roman"/>
          <w:spacing w:val="20"/>
          <w:sz w:val="24"/>
          <w:szCs w:val="24"/>
        </w:rPr>
        <w:t xml:space="preserve">“Trata-se de entender, assim, que a proporcionalidade possui uma dupla face: de proteção positiva e de proteção de omissões estatais. Ou seja, a inconstitucionalidade pode ser decorrente de excesso do Estado, caso em que determinado ato é desarrazoado, resultando desproporcional o resultado do seu </w:t>
      </w:r>
      <w:proofErr w:type="spellStart"/>
      <w:r w:rsidRPr="00432C92">
        <w:rPr>
          <w:rFonts w:ascii="Times New Roman" w:hAnsi="Times New Roman"/>
          <w:spacing w:val="20"/>
          <w:sz w:val="24"/>
          <w:szCs w:val="24"/>
        </w:rPr>
        <w:t>sopesamento</w:t>
      </w:r>
      <w:proofErr w:type="spellEnd"/>
      <w:r w:rsidRPr="00432C92">
        <w:rPr>
          <w:rFonts w:ascii="Times New Roman" w:hAnsi="Times New Roman"/>
          <w:spacing w:val="20"/>
          <w:sz w:val="24"/>
          <w:szCs w:val="24"/>
        </w:rPr>
        <w:t xml:space="preserve"> (</w:t>
      </w:r>
      <w:proofErr w:type="spellStart"/>
      <w:r w:rsidRPr="00432C92">
        <w:rPr>
          <w:rFonts w:ascii="Times New Roman" w:hAnsi="Times New Roman"/>
          <w:i/>
          <w:spacing w:val="20"/>
          <w:sz w:val="24"/>
          <w:szCs w:val="24"/>
        </w:rPr>
        <w:t>Abwägung</w:t>
      </w:r>
      <w:proofErr w:type="spellEnd"/>
      <w:r w:rsidRPr="00432C92">
        <w:rPr>
          <w:rFonts w:ascii="Times New Roman" w:hAnsi="Times New Roman"/>
          <w:spacing w:val="20"/>
          <w:sz w:val="24"/>
          <w:szCs w:val="24"/>
        </w:rPr>
        <w:t xml:space="preserve">) entre fins e meios; de outro lado, a inconstitucionalidade pode advir de proteção insuficiente de um direito fundamental-social, como </w:t>
      </w:r>
      <w:r w:rsidRPr="00432C92">
        <w:rPr>
          <w:rFonts w:ascii="Times New Roman" w:hAnsi="Times New Roman"/>
          <w:spacing w:val="20"/>
          <w:sz w:val="24"/>
          <w:szCs w:val="24"/>
        </w:rPr>
        <w:lastRenderedPageBreak/>
        <w:t xml:space="preserve">ocorre quando o Estado abre mão do uso de determinadas sanções penais ou administrativas para proteger determinados bens jurídicos. Este duplo viés do princípio da proporcionalidade decorre da necessária vinculação de todos os atos estatais à materialidade da constituição e tem como </w:t>
      </w:r>
      <w:proofErr w:type="spellStart"/>
      <w:r w:rsidRPr="00432C92">
        <w:rPr>
          <w:rFonts w:ascii="Times New Roman" w:hAnsi="Times New Roman"/>
          <w:spacing w:val="20"/>
          <w:sz w:val="24"/>
          <w:szCs w:val="24"/>
        </w:rPr>
        <w:t>conseqüência</w:t>
      </w:r>
      <w:proofErr w:type="spellEnd"/>
      <w:r w:rsidRPr="00432C92">
        <w:rPr>
          <w:rFonts w:ascii="Times New Roman" w:hAnsi="Times New Roman"/>
          <w:spacing w:val="20"/>
          <w:sz w:val="24"/>
          <w:szCs w:val="24"/>
        </w:rPr>
        <w:t xml:space="preserve"> a sensível diminuição da discricionariedade (liberdade de conformação) do legislador”.</w:t>
      </w:r>
    </w:p>
    <w:p w:rsidR="00494A40" w:rsidRPr="00432C92" w:rsidRDefault="00494A40" w:rsidP="00494A40">
      <w:pPr>
        <w:pStyle w:val="PargrafodaLista"/>
        <w:spacing w:after="0" w:line="360" w:lineRule="auto"/>
        <w:ind w:left="2268"/>
        <w:jc w:val="both"/>
        <w:rPr>
          <w:rFonts w:ascii="Times New Roman" w:hAnsi="Times New Roman"/>
          <w:spacing w:val="20"/>
          <w:sz w:val="24"/>
          <w:szCs w:val="24"/>
        </w:rPr>
      </w:pPr>
      <w:proofErr w:type="spellStart"/>
      <w:r w:rsidRPr="00432C92">
        <w:rPr>
          <w:rFonts w:ascii="Times New Roman" w:hAnsi="Times New Roman"/>
          <w:smallCaps/>
          <w:spacing w:val="20"/>
          <w:sz w:val="24"/>
          <w:szCs w:val="24"/>
        </w:rPr>
        <w:t>Lênio</w:t>
      </w:r>
      <w:proofErr w:type="spellEnd"/>
      <w:r w:rsidRPr="00432C92">
        <w:rPr>
          <w:rFonts w:ascii="Times New Roman" w:hAnsi="Times New Roman"/>
          <w:smallCaps/>
          <w:spacing w:val="20"/>
          <w:sz w:val="24"/>
          <w:szCs w:val="24"/>
        </w:rPr>
        <w:t xml:space="preserve"> Luiz </w:t>
      </w:r>
      <w:proofErr w:type="spellStart"/>
      <w:r w:rsidRPr="00432C92">
        <w:rPr>
          <w:rFonts w:ascii="Times New Roman" w:hAnsi="Times New Roman"/>
          <w:smallCaps/>
          <w:spacing w:val="20"/>
          <w:sz w:val="24"/>
          <w:szCs w:val="24"/>
        </w:rPr>
        <w:t>Streck</w:t>
      </w:r>
      <w:proofErr w:type="spellEnd"/>
      <w:r w:rsidRPr="00432C92">
        <w:rPr>
          <w:rFonts w:ascii="Times New Roman" w:hAnsi="Times New Roman"/>
          <w:spacing w:val="20"/>
          <w:sz w:val="24"/>
          <w:szCs w:val="24"/>
        </w:rPr>
        <w:t xml:space="preserve">, A dupla face do princípio da proporcionalidade, </w:t>
      </w:r>
      <w:r w:rsidRPr="00432C92">
        <w:rPr>
          <w:rFonts w:ascii="Times New Roman" w:hAnsi="Times New Roman"/>
          <w:i/>
          <w:spacing w:val="20"/>
          <w:sz w:val="24"/>
          <w:szCs w:val="24"/>
        </w:rPr>
        <w:t>Revista da Ajuris</w:t>
      </w:r>
      <w:r w:rsidRPr="00432C92">
        <w:rPr>
          <w:rFonts w:ascii="Times New Roman" w:hAnsi="Times New Roman"/>
          <w:spacing w:val="20"/>
          <w:sz w:val="24"/>
          <w:szCs w:val="24"/>
        </w:rPr>
        <w:t>, n. 97, mar.2005, p. 180.</w:t>
      </w:r>
    </w:p>
    <w:p w:rsidR="00494A40" w:rsidRPr="00432C92" w:rsidRDefault="00494A40" w:rsidP="00494A40">
      <w:pPr>
        <w:pStyle w:val="PargrafodaLista"/>
        <w:spacing w:after="0" w:line="360" w:lineRule="auto"/>
        <w:ind w:left="0" w:firstLine="2268"/>
        <w:jc w:val="both"/>
        <w:rPr>
          <w:rFonts w:ascii="Times New Roman" w:hAnsi="Times New Roman"/>
          <w:spacing w:val="20"/>
          <w:sz w:val="24"/>
          <w:szCs w:val="24"/>
        </w:rPr>
      </w:pPr>
    </w:p>
    <w:p w:rsidR="00494A40" w:rsidRPr="00432C92" w:rsidRDefault="00494A40" w:rsidP="00494A40">
      <w:pPr>
        <w:pStyle w:val="PargrafodaLista"/>
        <w:spacing w:after="0" w:line="360" w:lineRule="auto"/>
        <w:ind w:left="0" w:firstLine="2268"/>
        <w:jc w:val="both"/>
        <w:rPr>
          <w:rFonts w:ascii="Times New Roman" w:hAnsi="Times New Roman"/>
          <w:spacing w:val="20"/>
          <w:sz w:val="24"/>
          <w:szCs w:val="24"/>
        </w:rPr>
      </w:pPr>
      <w:r w:rsidRPr="00432C92">
        <w:rPr>
          <w:rFonts w:ascii="Times New Roman" w:hAnsi="Times New Roman"/>
          <w:spacing w:val="20"/>
          <w:sz w:val="24"/>
          <w:szCs w:val="24"/>
        </w:rPr>
        <w:t>Destarte, a blindagem de valores depositados em conta poupança (ainda que “apenas” até o limite de 40 salários mínimos, cf. art. 649, X, do CPC/1973, e art. 833, X, do CPC/2015) não pode ser oponível contra todo e qualquer crédito, impondo-se a análise de adequação e necessidade da proteção legal no caso concreto.</w:t>
      </w:r>
    </w:p>
    <w:p w:rsidR="00494A40" w:rsidRDefault="00494A40" w:rsidP="00494A40">
      <w:pPr>
        <w:pStyle w:val="PargrafodaLista"/>
        <w:spacing w:after="0" w:line="360" w:lineRule="auto"/>
        <w:ind w:left="0" w:firstLine="2268"/>
        <w:jc w:val="both"/>
        <w:rPr>
          <w:rFonts w:ascii="Times New Roman" w:hAnsi="Times New Roman"/>
          <w:spacing w:val="20"/>
          <w:sz w:val="24"/>
          <w:szCs w:val="24"/>
        </w:rPr>
      </w:pPr>
      <w:r w:rsidRPr="00432C92">
        <w:rPr>
          <w:rFonts w:ascii="Times New Roman" w:hAnsi="Times New Roman"/>
          <w:spacing w:val="20"/>
          <w:sz w:val="24"/>
          <w:szCs w:val="24"/>
        </w:rPr>
        <w:t>Assim, considerada a natureza de aplicação financeira dos valores depositados em conta poupança (</w:t>
      </w:r>
      <w:r w:rsidRPr="00CC4D35">
        <w:rPr>
          <w:rFonts w:ascii="Times New Roman" w:hAnsi="Times New Roman"/>
          <w:spacing w:val="20"/>
          <w:szCs w:val="24"/>
        </w:rPr>
        <w:t>na medida em que se trata de investimento, ainda que conservador, cf. art. 12, da Lei n. 8177, de 01.03.1991, com remuneração do capital colocado à disposição do Sistema Financeiro Nacional</w:t>
      </w:r>
      <w:r w:rsidRPr="00432C92">
        <w:rPr>
          <w:rFonts w:ascii="Times New Roman" w:hAnsi="Times New Roman"/>
          <w:spacing w:val="20"/>
          <w:sz w:val="24"/>
          <w:szCs w:val="24"/>
        </w:rPr>
        <w:t>), para eventual utilização futura, a necessidade de proteção do salário do trabalhador/</w:t>
      </w:r>
      <w:proofErr w:type="spellStart"/>
      <w:r w:rsidRPr="00432C92">
        <w:rPr>
          <w:rFonts w:ascii="Times New Roman" w:hAnsi="Times New Roman"/>
          <w:spacing w:val="20"/>
          <w:sz w:val="24"/>
          <w:szCs w:val="24"/>
        </w:rPr>
        <w:t>exeqüente</w:t>
      </w:r>
      <w:proofErr w:type="spellEnd"/>
      <w:r w:rsidRPr="00432C92">
        <w:rPr>
          <w:rFonts w:ascii="Times New Roman" w:hAnsi="Times New Roman"/>
          <w:spacing w:val="20"/>
          <w:sz w:val="24"/>
          <w:szCs w:val="24"/>
        </w:rPr>
        <w:t xml:space="preserve"> se sobressai, sobretudo em situações em que não são nem sequer identificados ou indicados outros bens passíveis de constrição judicial (</w:t>
      </w:r>
      <w:proofErr w:type="spellStart"/>
      <w:r w:rsidRPr="00432C92">
        <w:rPr>
          <w:rFonts w:ascii="Times New Roman" w:hAnsi="Times New Roman"/>
          <w:spacing w:val="20"/>
          <w:sz w:val="24"/>
          <w:szCs w:val="24"/>
        </w:rPr>
        <w:t>arts</w:t>
      </w:r>
      <w:proofErr w:type="spellEnd"/>
      <w:r w:rsidRPr="00432C92">
        <w:rPr>
          <w:rFonts w:ascii="Times New Roman" w:hAnsi="Times New Roman"/>
          <w:spacing w:val="20"/>
          <w:sz w:val="24"/>
          <w:szCs w:val="24"/>
        </w:rPr>
        <w:t xml:space="preserve">. 600, IV, do CPC/1973, e 774, V, do CPC/2015) – </w:t>
      </w:r>
      <w:r w:rsidRPr="00CC4D35">
        <w:rPr>
          <w:rFonts w:ascii="Times New Roman" w:hAnsi="Times New Roman"/>
          <w:spacing w:val="20"/>
          <w:szCs w:val="24"/>
        </w:rPr>
        <w:t xml:space="preserve">em sentido semelhante, no que se refere a obrigação de pagar alimentos naturais e civis: STJ, </w:t>
      </w:r>
      <w:proofErr w:type="spellStart"/>
      <w:r w:rsidRPr="00CC4D35">
        <w:rPr>
          <w:rFonts w:ascii="Times New Roman" w:hAnsi="Times New Roman"/>
          <w:spacing w:val="20"/>
          <w:szCs w:val="24"/>
        </w:rPr>
        <w:t>REsp</w:t>
      </w:r>
      <w:proofErr w:type="spellEnd"/>
      <w:r w:rsidRPr="00CC4D35">
        <w:rPr>
          <w:rFonts w:ascii="Times New Roman" w:hAnsi="Times New Roman"/>
          <w:spacing w:val="20"/>
          <w:szCs w:val="24"/>
        </w:rPr>
        <w:t xml:space="preserve"> n. 1218118, rel. min. </w:t>
      </w:r>
      <w:r w:rsidRPr="00CC4D35">
        <w:rPr>
          <w:rFonts w:ascii="Times New Roman" w:hAnsi="Times New Roman"/>
          <w:smallCaps/>
          <w:spacing w:val="20"/>
          <w:szCs w:val="24"/>
        </w:rPr>
        <w:t>João Otavio de Noronha</w:t>
      </w:r>
      <w:r w:rsidRPr="00CC4D35">
        <w:rPr>
          <w:rFonts w:ascii="Times New Roman" w:hAnsi="Times New Roman"/>
          <w:spacing w:val="20"/>
          <w:szCs w:val="24"/>
        </w:rPr>
        <w:t>, j. 12.08.2014</w:t>
      </w:r>
      <w:r w:rsidRPr="00432C92">
        <w:rPr>
          <w:rFonts w:ascii="Times New Roman" w:hAnsi="Times New Roman"/>
          <w:spacing w:val="20"/>
          <w:sz w:val="24"/>
          <w:szCs w:val="24"/>
        </w:rPr>
        <w:t>.</w:t>
      </w:r>
    </w:p>
    <w:p w:rsidR="00494A40" w:rsidRPr="00CC4D35" w:rsidRDefault="00494A40" w:rsidP="00494A40">
      <w:pPr>
        <w:spacing w:after="0" w:line="360" w:lineRule="auto"/>
        <w:jc w:val="both"/>
        <w:rPr>
          <w:rFonts w:ascii="Times New Roman" w:hAnsi="Times New Roman"/>
          <w:spacing w:val="20"/>
          <w:sz w:val="24"/>
          <w:szCs w:val="24"/>
        </w:rPr>
      </w:pPr>
    </w:p>
    <w:p w:rsidR="00494A40" w:rsidRPr="00CC4D35" w:rsidRDefault="00494A40" w:rsidP="00494A40">
      <w:pPr>
        <w:spacing w:after="0" w:line="360" w:lineRule="auto"/>
        <w:jc w:val="both"/>
        <w:rPr>
          <w:rFonts w:ascii="Times New Roman" w:hAnsi="Times New Roman"/>
          <w:spacing w:val="20"/>
          <w:sz w:val="24"/>
          <w:szCs w:val="24"/>
        </w:rPr>
      </w:pPr>
    </w:p>
    <w:p w:rsidR="00494A40" w:rsidRPr="00CC4D35" w:rsidRDefault="00494A40" w:rsidP="00494A40">
      <w:pPr>
        <w:spacing w:after="0" w:line="360" w:lineRule="auto"/>
        <w:jc w:val="both"/>
        <w:rPr>
          <w:rFonts w:ascii="Times New Roman" w:hAnsi="Times New Roman"/>
          <w:spacing w:val="20"/>
          <w:sz w:val="24"/>
          <w:szCs w:val="24"/>
        </w:rPr>
      </w:pPr>
      <w:r w:rsidRPr="00CC4D35">
        <w:rPr>
          <w:rFonts w:ascii="Times New Roman" w:hAnsi="Times New Roman"/>
          <w:spacing w:val="20"/>
          <w:sz w:val="24"/>
          <w:szCs w:val="24"/>
        </w:rPr>
        <w:t>Bibliografia</w:t>
      </w:r>
    </w:p>
    <w:p w:rsidR="00494A40" w:rsidRPr="00CC4D35" w:rsidRDefault="00494A40" w:rsidP="00494A40">
      <w:pPr>
        <w:spacing w:after="0" w:line="360" w:lineRule="auto"/>
        <w:jc w:val="both"/>
        <w:rPr>
          <w:rFonts w:ascii="Times New Roman" w:hAnsi="Times New Roman"/>
          <w:spacing w:val="20"/>
          <w:sz w:val="24"/>
          <w:szCs w:val="24"/>
        </w:rPr>
      </w:pPr>
    </w:p>
    <w:p w:rsidR="00494A40" w:rsidRPr="00CC4D35" w:rsidRDefault="00494A40" w:rsidP="00494A40">
      <w:pPr>
        <w:spacing w:after="0" w:line="360" w:lineRule="auto"/>
        <w:jc w:val="both"/>
        <w:rPr>
          <w:rFonts w:ascii="Times New Roman" w:hAnsi="Times New Roman"/>
          <w:spacing w:val="20"/>
          <w:sz w:val="24"/>
          <w:szCs w:val="24"/>
        </w:rPr>
      </w:pPr>
      <w:r w:rsidRPr="00CC4D35">
        <w:rPr>
          <w:rFonts w:ascii="Times New Roman" w:hAnsi="Times New Roman"/>
          <w:spacing w:val="20"/>
          <w:sz w:val="24"/>
          <w:szCs w:val="24"/>
        </w:rPr>
        <w:t>BARROSO, Luís Roberto</w:t>
      </w:r>
      <w:r>
        <w:rPr>
          <w:rFonts w:ascii="Times New Roman" w:hAnsi="Times New Roman"/>
          <w:spacing w:val="20"/>
          <w:sz w:val="24"/>
          <w:szCs w:val="24"/>
        </w:rPr>
        <w:t>.</w:t>
      </w:r>
      <w:r w:rsidRPr="00CC4D35">
        <w:rPr>
          <w:rFonts w:ascii="Times New Roman" w:hAnsi="Times New Roman"/>
          <w:spacing w:val="20"/>
          <w:sz w:val="24"/>
          <w:szCs w:val="24"/>
        </w:rPr>
        <w:t xml:space="preserve"> </w:t>
      </w:r>
      <w:r w:rsidRPr="00CC4D35">
        <w:rPr>
          <w:rFonts w:ascii="Times New Roman" w:hAnsi="Times New Roman"/>
          <w:i/>
          <w:spacing w:val="20"/>
          <w:sz w:val="24"/>
          <w:szCs w:val="24"/>
        </w:rPr>
        <w:t>Interpretação e aplicação da constituição</w:t>
      </w:r>
      <w:r>
        <w:rPr>
          <w:rFonts w:ascii="Times New Roman" w:hAnsi="Times New Roman"/>
          <w:spacing w:val="20"/>
          <w:sz w:val="24"/>
          <w:szCs w:val="24"/>
        </w:rPr>
        <w:t>. 2ª ed., São Paulo: Saraiva,</w:t>
      </w:r>
      <w:r w:rsidRPr="00CC4D35">
        <w:rPr>
          <w:rFonts w:ascii="Times New Roman" w:hAnsi="Times New Roman"/>
          <w:spacing w:val="20"/>
          <w:sz w:val="24"/>
          <w:szCs w:val="24"/>
        </w:rPr>
        <w:t xml:space="preserve"> 1998.</w:t>
      </w:r>
    </w:p>
    <w:p w:rsidR="00494A40" w:rsidRPr="00CC4D35" w:rsidRDefault="00494A40" w:rsidP="00494A40">
      <w:pPr>
        <w:spacing w:after="0" w:line="360" w:lineRule="auto"/>
        <w:jc w:val="both"/>
        <w:rPr>
          <w:rFonts w:ascii="Times New Roman" w:hAnsi="Times New Roman"/>
          <w:spacing w:val="20"/>
          <w:sz w:val="24"/>
          <w:szCs w:val="24"/>
        </w:rPr>
      </w:pPr>
    </w:p>
    <w:p w:rsidR="00494A40" w:rsidRPr="00CC4D35" w:rsidRDefault="00494A40" w:rsidP="00494A40">
      <w:pPr>
        <w:spacing w:after="0" w:line="360" w:lineRule="auto"/>
        <w:jc w:val="both"/>
        <w:rPr>
          <w:rFonts w:ascii="Times New Roman" w:hAnsi="Times New Roman"/>
          <w:spacing w:val="20"/>
          <w:sz w:val="24"/>
          <w:szCs w:val="24"/>
        </w:rPr>
      </w:pPr>
      <w:r w:rsidRPr="00CC4D35">
        <w:rPr>
          <w:rFonts w:ascii="Times New Roman" w:hAnsi="Times New Roman"/>
          <w:spacing w:val="20"/>
          <w:sz w:val="24"/>
          <w:szCs w:val="24"/>
        </w:rPr>
        <w:lastRenderedPageBreak/>
        <w:t>STRECK</w:t>
      </w:r>
      <w:r>
        <w:rPr>
          <w:rFonts w:ascii="Times New Roman" w:hAnsi="Times New Roman"/>
          <w:spacing w:val="20"/>
          <w:sz w:val="24"/>
          <w:szCs w:val="24"/>
        </w:rPr>
        <w:t xml:space="preserve">, </w:t>
      </w:r>
      <w:proofErr w:type="spellStart"/>
      <w:r w:rsidRPr="00CC4D35">
        <w:rPr>
          <w:rFonts w:ascii="Times New Roman" w:hAnsi="Times New Roman"/>
          <w:spacing w:val="20"/>
          <w:sz w:val="24"/>
          <w:szCs w:val="24"/>
        </w:rPr>
        <w:t>Lênio</w:t>
      </w:r>
      <w:proofErr w:type="spellEnd"/>
      <w:r w:rsidRPr="00CC4D35">
        <w:rPr>
          <w:rFonts w:ascii="Times New Roman" w:hAnsi="Times New Roman"/>
          <w:spacing w:val="20"/>
          <w:sz w:val="24"/>
          <w:szCs w:val="24"/>
        </w:rPr>
        <w:t xml:space="preserve"> Luiz, A dupla face do princípio da proporcionalidade, </w:t>
      </w:r>
      <w:r w:rsidRPr="00CC4D35">
        <w:rPr>
          <w:rFonts w:ascii="Times New Roman" w:hAnsi="Times New Roman"/>
          <w:i/>
          <w:spacing w:val="20"/>
          <w:sz w:val="24"/>
          <w:szCs w:val="24"/>
        </w:rPr>
        <w:t>Revista da Ajuris</w:t>
      </w:r>
      <w:r w:rsidRPr="00CC4D35">
        <w:rPr>
          <w:rFonts w:ascii="Times New Roman" w:hAnsi="Times New Roman"/>
          <w:spacing w:val="20"/>
          <w:sz w:val="24"/>
          <w:szCs w:val="24"/>
        </w:rPr>
        <w:t>, n. 97, mar.2005</w:t>
      </w:r>
      <w:r>
        <w:rPr>
          <w:rFonts w:ascii="Times New Roman" w:hAnsi="Times New Roman"/>
          <w:spacing w:val="20"/>
          <w:sz w:val="24"/>
          <w:szCs w:val="24"/>
        </w:rPr>
        <w:t>, p. 171-202.</w:t>
      </w:r>
    </w:p>
    <w:p w:rsidR="00494A40" w:rsidRPr="00CC4D35" w:rsidRDefault="00494A40" w:rsidP="00494A40">
      <w:pPr>
        <w:spacing w:after="0" w:line="360" w:lineRule="auto"/>
        <w:jc w:val="both"/>
        <w:rPr>
          <w:rFonts w:ascii="Times New Roman" w:hAnsi="Times New Roman"/>
          <w:spacing w:val="20"/>
          <w:sz w:val="24"/>
          <w:szCs w:val="24"/>
        </w:rPr>
      </w:pPr>
    </w:p>
    <w:p w:rsidR="00494A40" w:rsidRPr="00CC4D35" w:rsidRDefault="00494A40" w:rsidP="00494A40">
      <w:pPr>
        <w:spacing w:after="0" w:line="360" w:lineRule="auto"/>
        <w:jc w:val="both"/>
        <w:rPr>
          <w:rFonts w:ascii="Times New Roman" w:hAnsi="Times New Roman"/>
          <w:spacing w:val="20"/>
          <w:sz w:val="24"/>
          <w:szCs w:val="24"/>
        </w:rPr>
      </w:pPr>
      <w:r w:rsidRPr="00CC4D35">
        <w:rPr>
          <w:rFonts w:ascii="Times New Roman" w:hAnsi="Times New Roman"/>
          <w:spacing w:val="20"/>
          <w:sz w:val="24"/>
          <w:szCs w:val="24"/>
        </w:rPr>
        <w:t>MENDES</w:t>
      </w:r>
      <w:r>
        <w:rPr>
          <w:rFonts w:ascii="Times New Roman" w:hAnsi="Times New Roman"/>
          <w:spacing w:val="20"/>
          <w:sz w:val="24"/>
          <w:szCs w:val="24"/>
        </w:rPr>
        <w:t xml:space="preserve">, </w:t>
      </w:r>
      <w:r w:rsidRPr="00CC4D35">
        <w:rPr>
          <w:rFonts w:ascii="Times New Roman" w:hAnsi="Times New Roman"/>
          <w:spacing w:val="20"/>
          <w:sz w:val="24"/>
          <w:szCs w:val="24"/>
        </w:rPr>
        <w:t>Gilmar Ferreira</w:t>
      </w:r>
      <w:r>
        <w:rPr>
          <w:rFonts w:ascii="Times New Roman" w:hAnsi="Times New Roman"/>
          <w:spacing w:val="20"/>
          <w:sz w:val="24"/>
          <w:szCs w:val="24"/>
        </w:rPr>
        <w:t>.</w:t>
      </w:r>
      <w:r w:rsidRPr="00CC4D35">
        <w:rPr>
          <w:rFonts w:ascii="Times New Roman" w:hAnsi="Times New Roman"/>
          <w:spacing w:val="20"/>
          <w:sz w:val="24"/>
          <w:szCs w:val="24"/>
        </w:rPr>
        <w:t xml:space="preserve"> A proporcionalidade na jurisprudência do Supremo Tribunal Federal, </w:t>
      </w:r>
      <w:r w:rsidRPr="00CC4D35">
        <w:rPr>
          <w:rFonts w:ascii="Times New Roman" w:hAnsi="Times New Roman"/>
          <w:i/>
          <w:spacing w:val="20"/>
          <w:sz w:val="24"/>
          <w:szCs w:val="24"/>
        </w:rPr>
        <w:t>Repertório IOB de Jurisprudência</w:t>
      </w:r>
      <w:r w:rsidRPr="00CC4D35">
        <w:rPr>
          <w:rFonts w:ascii="Times New Roman" w:hAnsi="Times New Roman"/>
          <w:spacing w:val="20"/>
          <w:sz w:val="24"/>
          <w:szCs w:val="24"/>
        </w:rPr>
        <w:t>, n. 23, dez.1994</w:t>
      </w:r>
      <w:r>
        <w:rPr>
          <w:rFonts w:ascii="Times New Roman" w:hAnsi="Times New Roman"/>
          <w:spacing w:val="20"/>
          <w:sz w:val="24"/>
          <w:szCs w:val="24"/>
        </w:rPr>
        <w:t>, p. 475-469.</w:t>
      </w:r>
    </w:p>
    <w:p w:rsidR="00B12C82" w:rsidRDefault="00B12C82">
      <w:bookmarkStart w:id="0" w:name="_GoBack"/>
      <w:bookmarkEnd w:id="0"/>
    </w:p>
    <w:sectPr w:rsidR="00B12C82" w:rsidSect="00432C92">
      <w:pgSz w:w="11906" w:h="16838"/>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A40"/>
    <w:rsid w:val="00494A40"/>
    <w:rsid w:val="00B12C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BD5AB-C528-419C-8F3F-38E076A8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A40"/>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494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4561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jornalista</dc:creator>
  <cp:keywords/>
  <dc:description/>
  <cp:lastModifiedBy>jornalista</cp:lastModifiedBy>
  <cp:revision>1</cp:revision>
  <dcterms:created xsi:type="dcterms:W3CDTF">2016-03-14T21:51:00Z</dcterms:created>
  <dcterms:modified xsi:type="dcterms:W3CDTF">2016-03-14T21:51:00Z</dcterms:modified>
</cp:coreProperties>
</file>